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184" w:rsidRPr="00BC4A85" w:rsidRDefault="002B43EB" w:rsidP="00622150">
      <w:pPr>
        <w:pStyle w:val="TtuloTDC"/>
        <w:spacing w:after="240"/>
        <w:jc w:val="center"/>
        <w:rPr>
          <w:rFonts w:ascii="Calibri" w:hAnsi="Calibri" w:cs="Arial"/>
          <w:color w:val="0071CE"/>
          <w:sz w:val="36"/>
          <w:szCs w:val="40"/>
          <w:lang w:val="es-ES"/>
        </w:rPr>
      </w:pPr>
      <w:r>
        <w:rPr>
          <w:rFonts w:ascii="Calibri" w:hAnsi="Calibri" w:cs="Arial"/>
          <w:color w:val="0071CE"/>
          <w:sz w:val="36"/>
          <w:szCs w:val="40"/>
          <w:lang w:val="es-ES"/>
        </w:rPr>
        <w:t xml:space="preserve">GT EÓLICA MARINA – </w:t>
      </w:r>
      <w:proofErr w:type="spellStart"/>
      <w:r>
        <w:rPr>
          <w:rFonts w:ascii="Calibri" w:hAnsi="Calibri" w:cs="Arial"/>
          <w:color w:val="0071CE"/>
          <w:sz w:val="36"/>
          <w:szCs w:val="40"/>
          <w:lang w:val="es-ES"/>
        </w:rPr>
        <w:t>Kickoff</w:t>
      </w:r>
      <w:proofErr w:type="spellEnd"/>
      <w:r w:rsidR="003B7E1F">
        <w:rPr>
          <w:rFonts w:ascii="Calibri" w:hAnsi="Calibri" w:cs="Arial"/>
          <w:color w:val="0071CE"/>
          <w:sz w:val="36"/>
          <w:szCs w:val="40"/>
          <w:lang w:val="es-ES"/>
        </w:rPr>
        <w:t xml:space="preserve"> </w:t>
      </w:r>
      <w:proofErr w:type="gramStart"/>
      <w:r>
        <w:rPr>
          <w:rFonts w:ascii="Calibri" w:hAnsi="Calibri" w:cs="Arial"/>
          <w:color w:val="0071CE"/>
          <w:sz w:val="36"/>
          <w:szCs w:val="40"/>
          <w:lang w:val="es-ES"/>
        </w:rPr>
        <w:t>Meeting</w:t>
      </w:r>
      <w:proofErr w:type="gramEnd"/>
    </w:p>
    <w:p w:rsidR="00622150" w:rsidRPr="00BC4A85" w:rsidRDefault="00622150" w:rsidP="00622150">
      <w:pPr>
        <w:jc w:val="center"/>
        <w:rPr>
          <w:rFonts w:ascii="Arial" w:hAnsi="Arial" w:cs="Arial"/>
          <w:b/>
          <w:i/>
          <w:color w:val="000080"/>
          <w:sz w:val="36"/>
          <w:szCs w:val="36"/>
        </w:rPr>
      </w:pPr>
      <w:r w:rsidRPr="00BC4A85">
        <w:rPr>
          <w:rFonts w:ascii="Arial" w:hAnsi="Arial" w:cs="Arial"/>
          <w:b/>
          <w:color w:val="808080"/>
          <w:sz w:val="28"/>
          <w:szCs w:val="28"/>
        </w:rPr>
        <w:t>Acta de la Reunión</w:t>
      </w:r>
    </w:p>
    <w:p w:rsidR="00622150" w:rsidRPr="00BC4A85" w:rsidRDefault="00622150" w:rsidP="00622150">
      <w:pPr>
        <w:rPr>
          <w:lang w:val="es-ES"/>
        </w:rPr>
      </w:pPr>
      <w:bookmarkStart w:id="0" w:name="_GoBack"/>
      <w:bookmarkEnd w:id="0"/>
    </w:p>
    <w:p w:rsidR="00622150" w:rsidRPr="00BC4A85" w:rsidRDefault="00622150" w:rsidP="00936F6A">
      <w:pPr>
        <w:jc w:val="both"/>
        <w:rPr>
          <w:rFonts w:asciiTheme="majorHAnsi" w:eastAsia="Calibri" w:hAnsiTheme="majorHAnsi" w:cs="Arial"/>
          <w:sz w:val="22"/>
        </w:rPr>
      </w:pPr>
    </w:p>
    <w:p w:rsidR="00140A78" w:rsidRPr="00BC4A85" w:rsidRDefault="00140A78" w:rsidP="00936F6A">
      <w:pPr>
        <w:jc w:val="both"/>
        <w:rPr>
          <w:rFonts w:asciiTheme="majorHAnsi" w:eastAsia="Calibri" w:hAnsiTheme="majorHAnsi" w:cs="Arial"/>
          <w:sz w:val="22"/>
        </w:rPr>
      </w:pPr>
      <w:r w:rsidRPr="00BC4A85">
        <w:rPr>
          <w:rFonts w:asciiTheme="majorHAnsi" w:eastAsia="Calibri" w:hAnsiTheme="majorHAnsi" w:cs="Arial"/>
          <w:b/>
          <w:sz w:val="22"/>
        </w:rPr>
        <w:t>Fecha:</w:t>
      </w:r>
      <w:r w:rsidRPr="00BC4A85">
        <w:rPr>
          <w:rFonts w:asciiTheme="majorHAnsi" w:eastAsia="Calibri" w:hAnsiTheme="majorHAnsi" w:cs="Arial"/>
          <w:sz w:val="22"/>
        </w:rPr>
        <w:tab/>
      </w:r>
      <w:r w:rsidR="002B43EB">
        <w:rPr>
          <w:rFonts w:asciiTheme="majorHAnsi" w:eastAsia="Calibri" w:hAnsiTheme="majorHAnsi" w:cs="Arial"/>
          <w:sz w:val="22"/>
        </w:rPr>
        <w:t>29</w:t>
      </w:r>
      <w:r w:rsidR="00C77D74">
        <w:rPr>
          <w:rFonts w:asciiTheme="majorHAnsi" w:eastAsia="Calibri" w:hAnsiTheme="majorHAnsi" w:cs="Arial"/>
          <w:sz w:val="22"/>
        </w:rPr>
        <w:t xml:space="preserve"> </w:t>
      </w:r>
      <w:r w:rsidR="005150C6" w:rsidRPr="00BC4A85">
        <w:rPr>
          <w:rFonts w:asciiTheme="majorHAnsi" w:eastAsia="Calibri" w:hAnsiTheme="majorHAnsi" w:cs="Arial"/>
          <w:sz w:val="22"/>
        </w:rPr>
        <w:t xml:space="preserve">de </w:t>
      </w:r>
      <w:proofErr w:type="gramStart"/>
      <w:r w:rsidR="002B43EB">
        <w:rPr>
          <w:rFonts w:asciiTheme="majorHAnsi" w:eastAsia="Calibri" w:hAnsiTheme="majorHAnsi" w:cs="Arial"/>
          <w:sz w:val="22"/>
        </w:rPr>
        <w:t>Abril</w:t>
      </w:r>
      <w:proofErr w:type="gramEnd"/>
      <w:r w:rsidR="005150C6" w:rsidRPr="00BC4A85">
        <w:rPr>
          <w:rFonts w:asciiTheme="majorHAnsi" w:eastAsia="Calibri" w:hAnsiTheme="majorHAnsi" w:cs="Arial"/>
          <w:sz w:val="22"/>
        </w:rPr>
        <w:t xml:space="preserve"> de 201</w:t>
      </w:r>
      <w:r w:rsidR="00E12489" w:rsidRPr="00BC4A85">
        <w:rPr>
          <w:rFonts w:asciiTheme="majorHAnsi" w:eastAsia="Calibri" w:hAnsiTheme="majorHAnsi" w:cs="Arial"/>
          <w:sz w:val="22"/>
        </w:rPr>
        <w:t>9</w:t>
      </w:r>
    </w:p>
    <w:p w:rsidR="005150C6" w:rsidRPr="00BC4A85" w:rsidRDefault="00140A78" w:rsidP="00936F6A">
      <w:pPr>
        <w:jc w:val="both"/>
        <w:rPr>
          <w:rFonts w:asciiTheme="majorHAnsi" w:eastAsia="Calibri" w:hAnsiTheme="majorHAnsi" w:cs="Arial"/>
          <w:sz w:val="22"/>
        </w:rPr>
      </w:pPr>
      <w:r w:rsidRPr="00BC4A85">
        <w:rPr>
          <w:rFonts w:asciiTheme="majorHAnsi" w:eastAsia="Calibri" w:hAnsiTheme="majorHAnsi" w:cs="Arial"/>
          <w:b/>
          <w:sz w:val="22"/>
        </w:rPr>
        <w:t>Hora:</w:t>
      </w:r>
      <w:r w:rsidRPr="00BC4A85">
        <w:rPr>
          <w:rFonts w:asciiTheme="majorHAnsi" w:eastAsia="Calibri" w:hAnsiTheme="majorHAnsi" w:cs="Arial"/>
          <w:sz w:val="22"/>
        </w:rPr>
        <w:tab/>
      </w:r>
      <w:r w:rsidR="005150C6" w:rsidRPr="00BC4A85">
        <w:rPr>
          <w:rFonts w:asciiTheme="majorHAnsi" w:eastAsia="Calibri" w:hAnsiTheme="majorHAnsi" w:cs="Arial"/>
          <w:sz w:val="22"/>
        </w:rPr>
        <w:t>11:00</w:t>
      </w:r>
    </w:p>
    <w:p w:rsidR="005150C6" w:rsidRPr="00BC4A85" w:rsidRDefault="00140A78" w:rsidP="00936F6A">
      <w:pPr>
        <w:jc w:val="both"/>
        <w:rPr>
          <w:rFonts w:asciiTheme="majorHAnsi" w:eastAsia="Calibri" w:hAnsiTheme="majorHAnsi" w:cs="Arial"/>
          <w:sz w:val="22"/>
        </w:rPr>
      </w:pPr>
      <w:r w:rsidRPr="00BC4A85">
        <w:rPr>
          <w:rFonts w:asciiTheme="majorHAnsi" w:eastAsia="Calibri" w:hAnsiTheme="majorHAnsi" w:cs="Arial"/>
          <w:b/>
          <w:sz w:val="22"/>
        </w:rPr>
        <w:t>Lugar:</w:t>
      </w:r>
      <w:r w:rsidRPr="00BC4A85">
        <w:rPr>
          <w:rFonts w:asciiTheme="majorHAnsi" w:eastAsia="Calibri" w:hAnsiTheme="majorHAnsi" w:cs="Arial"/>
          <w:b/>
          <w:sz w:val="22"/>
        </w:rPr>
        <w:tab/>
      </w:r>
      <w:r w:rsidR="005150C6" w:rsidRPr="00BC4A85">
        <w:rPr>
          <w:rFonts w:asciiTheme="majorHAnsi" w:eastAsia="Calibri" w:hAnsiTheme="majorHAnsi" w:cs="Arial"/>
          <w:sz w:val="22"/>
        </w:rPr>
        <w:t>Sede de AEE. C/ Sor Ángela de la Cruz, 2. Planta 14. Madrid</w:t>
      </w:r>
    </w:p>
    <w:p w:rsidR="005150C6" w:rsidRPr="00BC4A85" w:rsidRDefault="005150C6" w:rsidP="00936F6A">
      <w:pPr>
        <w:jc w:val="both"/>
        <w:rPr>
          <w:rFonts w:ascii="Arial" w:eastAsia="Calibri" w:hAnsi="Arial" w:cs="Arial"/>
        </w:rPr>
      </w:pPr>
    </w:p>
    <w:p w:rsidR="00F36921" w:rsidRPr="00BC4A85" w:rsidRDefault="00F36921" w:rsidP="00936F6A">
      <w:pPr>
        <w:jc w:val="both"/>
        <w:rPr>
          <w:rFonts w:ascii="Arial" w:eastAsia="Calibri" w:hAnsi="Arial" w:cs="Arial"/>
        </w:rPr>
      </w:pPr>
    </w:p>
    <w:p w:rsidR="005150C6" w:rsidRPr="00BC4A85" w:rsidRDefault="00622150" w:rsidP="00936F6A">
      <w:pPr>
        <w:jc w:val="both"/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</w:pPr>
      <w:r w:rsidRPr="00BC4A85"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  <w:t>Orden del Día</w:t>
      </w:r>
      <w:r w:rsidR="00E12489" w:rsidRPr="00BC4A85"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  <w:t>:</w:t>
      </w:r>
    </w:p>
    <w:p w:rsidR="00E12489" w:rsidRPr="00BC4A85" w:rsidRDefault="00E12489" w:rsidP="00936F6A">
      <w:pPr>
        <w:jc w:val="both"/>
        <w:rPr>
          <w:rFonts w:ascii="Calibri" w:eastAsiaTheme="majorEastAsia" w:hAnsi="Calibri" w:cs="Arial"/>
          <w:bCs/>
          <w:lang w:val="es-ES"/>
        </w:rPr>
      </w:pPr>
    </w:p>
    <w:p w:rsidR="002B43EB" w:rsidRDefault="002B43EB" w:rsidP="002B43EB">
      <w:pPr>
        <w:pStyle w:val="Prrafodelista"/>
        <w:numPr>
          <w:ilvl w:val="0"/>
          <w:numId w:val="30"/>
        </w:num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Introducción. </w:t>
      </w:r>
    </w:p>
    <w:p w:rsidR="002B43EB" w:rsidRDefault="002B43EB" w:rsidP="002B43EB">
      <w:pPr>
        <w:pStyle w:val="Prrafodelista"/>
        <w:numPr>
          <w:ilvl w:val="1"/>
          <w:numId w:val="30"/>
        </w:num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2B43EB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Presentación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de los objetivos del Grupo de Trabajo</w:t>
      </w:r>
    </w:p>
    <w:p w:rsidR="002B43EB" w:rsidRDefault="002B43EB" w:rsidP="002B43EB">
      <w:pPr>
        <w:pStyle w:val="Prrafodelista"/>
        <w:numPr>
          <w:ilvl w:val="1"/>
          <w:numId w:val="30"/>
        </w:num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Discusión y aprobación de los Términos de Referencia.</w:t>
      </w:r>
    </w:p>
    <w:p w:rsidR="002B43EB" w:rsidRDefault="002B43EB" w:rsidP="002B43EB">
      <w:pPr>
        <w:pStyle w:val="Prrafodelista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</w:p>
    <w:p w:rsidR="002B43EB" w:rsidRPr="002B43EB" w:rsidRDefault="002B43EB" w:rsidP="002B43EB">
      <w:pPr>
        <w:pStyle w:val="Prrafodelista"/>
        <w:numPr>
          <w:ilvl w:val="0"/>
          <w:numId w:val="30"/>
        </w:num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2B43EB">
        <w:rPr>
          <w:rFonts w:ascii="Calibri" w:eastAsiaTheme="majorEastAsia" w:hAnsi="Calibri" w:cs="Arial"/>
          <w:bCs/>
          <w:sz w:val="22"/>
          <w:szCs w:val="22"/>
          <w:lang w:val="es-ES"/>
        </w:rPr>
        <w:t>Identificación del marco normativo sobre eólica marina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en España. Propuestas de modificación</w:t>
      </w:r>
    </w:p>
    <w:p w:rsidR="002B43EB" w:rsidRDefault="002B43EB" w:rsidP="002B43EB">
      <w:pPr>
        <w:pStyle w:val="Prrafodelista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</w:p>
    <w:p w:rsidR="002B43EB" w:rsidRDefault="002B43EB" w:rsidP="002B43EB">
      <w:pPr>
        <w:pStyle w:val="Prrafodelista"/>
        <w:numPr>
          <w:ilvl w:val="0"/>
          <w:numId w:val="30"/>
        </w:num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2B43EB">
        <w:rPr>
          <w:rFonts w:ascii="Calibri" w:eastAsiaTheme="majorEastAsia" w:hAnsi="Calibri" w:cs="Arial"/>
          <w:bCs/>
          <w:sz w:val="22"/>
          <w:szCs w:val="22"/>
          <w:lang w:val="es-ES"/>
        </w:rPr>
        <w:t>Proyectos innovadores y Presentación de los objetivos sobre eólica marina de REOLTEC</w:t>
      </w:r>
    </w:p>
    <w:p w:rsidR="002B43EB" w:rsidRDefault="002B43EB" w:rsidP="002B43EB">
      <w:pPr>
        <w:pStyle w:val="Prrafodelista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</w:p>
    <w:p w:rsidR="002B43EB" w:rsidRDefault="002B43EB" w:rsidP="002B43EB">
      <w:pPr>
        <w:pStyle w:val="Prrafodelista"/>
        <w:numPr>
          <w:ilvl w:val="0"/>
          <w:numId w:val="30"/>
        </w:num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Conclusiones, </w:t>
      </w:r>
      <w:r w:rsidR="00AC087F">
        <w:rPr>
          <w:rFonts w:ascii="Calibri" w:eastAsiaTheme="majorEastAsia" w:hAnsi="Calibri" w:cs="Arial"/>
          <w:bCs/>
          <w:sz w:val="22"/>
          <w:szCs w:val="22"/>
          <w:lang w:val="es-ES"/>
        </w:rPr>
        <w:t>próximos pasos</w:t>
      </w: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>, ruegos y preguntas.</w:t>
      </w:r>
    </w:p>
    <w:p w:rsidR="002B43EB" w:rsidRPr="002B43EB" w:rsidRDefault="002B43EB" w:rsidP="002B43EB">
      <w:pPr>
        <w:pStyle w:val="Prrafodelista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</w:p>
    <w:p w:rsidR="002B43EB" w:rsidRPr="00BC4A85" w:rsidRDefault="002B43EB" w:rsidP="00DC31F9">
      <w:pPr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</w:p>
    <w:p w:rsidR="0097212D" w:rsidRPr="00BC4A85" w:rsidRDefault="00511D8C" w:rsidP="00511D8C">
      <w:pPr>
        <w:jc w:val="both"/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</w:pP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>Como hilo conductor de la reunión se utiliza la presentación “</w:t>
      </w:r>
      <w:r w:rsidR="002B43EB" w:rsidRPr="002B43EB">
        <w:rPr>
          <w:rFonts w:ascii="Calibri" w:eastAsiaTheme="majorEastAsia" w:hAnsi="Calibri" w:cs="Arial"/>
          <w:b/>
          <w:bCs/>
          <w:i/>
          <w:sz w:val="22"/>
          <w:szCs w:val="22"/>
          <w:lang w:val="es-ES"/>
        </w:rPr>
        <w:t xml:space="preserve">190529 GT Offshore - </w:t>
      </w:r>
      <w:proofErr w:type="spellStart"/>
      <w:r w:rsidR="002B43EB" w:rsidRPr="002B43EB">
        <w:rPr>
          <w:rFonts w:ascii="Calibri" w:eastAsiaTheme="majorEastAsia" w:hAnsi="Calibri" w:cs="Arial"/>
          <w:b/>
          <w:bCs/>
          <w:i/>
          <w:sz w:val="22"/>
          <w:szCs w:val="22"/>
          <w:lang w:val="es-ES"/>
        </w:rPr>
        <w:t>Kickoff</w:t>
      </w:r>
      <w:proofErr w:type="spellEnd"/>
      <w:r w:rsidR="002B43EB" w:rsidRPr="002B43EB">
        <w:rPr>
          <w:rFonts w:ascii="Calibri" w:eastAsiaTheme="majorEastAsia" w:hAnsi="Calibri" w:cs="Arial"/>
          <w:b/>
          <w:bCs/>
          <w:i/>
          <w:sz w:val="22"/>
          <w:szCs w:val="22"/>
          <w:lang w:val="es-ES"/>
        </w:rPr>
        <w:t xml:space="preserve"> Meeting</w:t>
      </w:r>
      <w:r w:rsidRPr="00BC4A85">
        <w:rPr>
          <w:rFonts w:ascii="Calibri" w:eastAsiaTheme="majorEastAsia" w:hAnsi="Calibri" w:cs="Arial"/>
          <w:b/>
          <w:bCs/>
          <w:i/>
          <w:sz w:val="22"/>
          <w:szCs w:val="22"/>
          <w:lang w:val="es-ES"/>
        </w:rPr>
        <w:t>.pdf</w:t>
      </w: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”, adjunta </w:t>
      </w:r>
      <w:proofErr w:type="gramStart"/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>al presente acta</w:t>
      </w:r>
      <w:proofErr w:type="gramEnd"/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  <w:r w:rsidR="0097212D" w:rsidRPr="00BC4A85"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  <w:br w:type="page"/>
      </w:r>
    </w:p>
    <w:p w:rsidR="00F655D0" w:rsidRPr="00BC4A85" w:rsidRDefault="00F655D0" w:rsidP="00F655D0">
      <w:pPr>
        <w:jc w:val="both"/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</w:pPr>
      <w:r w:rsidRPr="00BC4A85">
        <w:rPr>
          <w:rFonts w:ascii="Calibri" w:eastAsiaTheme="majorEastAsia" w:hAnsi="Calibri" w:cs="Arial"/>
          <w:b/>
          <w:bCs/>
          <w:color w:val="0071CE"/>
          <w:sz w:val="32"/>
          <w:szCs w:val="40"/>
          <w:lang w:val="es-ES"/>
        </w:rPr>
        <w:lastRenderedPageBreak/>
        <w:t xml:space="preserve">Temas tratados </w:t>
      </w:r>
    </w:p>
    <w:p w:rsidR="008B0003" w:rsidRPr="00BC4A85" w:rsidRDefault="008B0003" w:rsidP="008B0003">
      <w:pPr>
        <w:jc w:val="both"/>
        <w:rPr>
          <w:rFonts w:ascii="Calibri" w:eastAsiaTheme="majorEastAsia" w:hAnsi="Calibri" w:cs="Arial"/>
          <w:bCs/>
          <w:lang w:val="es-ES"/>
        </w:rPr>
      </w:pPr>
    </w:p>
    <w:p w:rsidR="008B0003" w:rsidRPr="00BC4A85" w:rsidRDefault="007B52A5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BC4A85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1.- </w:t>
      </w:r>
      <w:r w:rsidR="002B43EB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INTRODUCCIÓN</w:t>
      </w: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. </w:t>
      </w:r>
    </w:p>
    <w:p w:rsidR="00511D8C" w:rsidRPr="00BC4A85" w:rsidRDefault="00511D8C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AEE expone la estructura del GT de </w:t>
      </w:r>
      <w:r w:rsidR="002B43EB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Eólica Marina </w:t>
      </w:r>
      <w:r w:rsidRPr="00BC4A85">
        <w:rPr>
          <w:rFonts w:ascii="Calibri" w:eastAsiaTheme="majorEastAsia" w:hAnsi="Calibri" w:cs="Arial"/>
          <w:bCs/>
          <w:sz w:val="22"/>
          <w:szCs w:val="22"/>
          <w:lang w:val="es-ES"/>
        </w:rPr>
        <w:t>y los objetivos generales del grupo de Trabajo</w:t>
      </w:r>
      <w:r w:rsidR="002B43EB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, de acuerdo con lo establecido en los Términos de Referencia distribuidos previamente. (ver archivo </w:t>
      </w:r>
      <w:r w:rsidR="00410E21" w:rsidRPr="00410E21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 xml:space="preserve">“GT Eólica </w:t>
      </w:r>
      <w:proofErr w:type="gramStart"/>
      <w:r w:rsidR="00410E21" w:rsidRPr="00410E21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>Offshore</w:t>
      </w:r>
      <w:proofErr w:type="gramEnd"/>
      <w:r w:rsidR="00410E21" w:rsidRPr="00410E21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 xml:space="preserve"> - TdR.pdf”)</w:t>
      </w:r>
    </w:p>
    <w:p w:rsidR="00511D8C" w:rsidRPr="00BC4A85" w:rsidRDefault="00511D8C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</w:p>
    <w:p w:rsidR="00410E21" w:rsidRPr="00410E21" w:rsidRDefault="00410E21" w:rsidP="006A7330">
      <w:pPr>
        <w:spacing w:before="120"/>
        <w:jc w:val="both"/>
        <w:rPr>
          <w:rFonts w:ascii="Calibri" w:eastAsiaTheme="majorEastAsia" w:hAnsi="Calibri" w:cs="Arial"/>
          <w:b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2. </w:t>
      </w:r>
      <w:r w:rsidRPr="00410E21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Identificación del marco normativo sobre eólica marina en España. </w:t>
      </w:r>
    </w:p>
    <w:p w:rsidR="00410E21" w:rsidRDefault="00410E21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AEE presenta un resumen de la normativa aplicable </w:t>
      </w:r>
      <w:r w:rsidR="00F8009F">
        <w:rPr>
          <w:rFonts w:ascii="Calibri" w:eastAsiaTheme="majorEastAsia" w:hAnsi="Calibri" w:cs="Arial"/>
          <w:bCs/>
          <w:sz w:val="22"/>
          <w:szCs w:val="22"/>
          <w:lang w:val="es-ES"/>
        </w:rPr>
        <w:t>en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eólica marina en España</w:t>
      </w:r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>:</w:t>
      </w:r>
    </w:p>
    <w:p w:rsidR="00410E21" w:rsidRDefault="00410E21" w:rsidP="006A7330">
      <w:pPr>
        <w:pStyle w:val="Prrafodelista"/>
        <w:numPr>
          <w:ilvl w:val="0"/>
          <w:numId w:val="40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RD 1028/2007</w:t>
      </w:r>
    </w:p>
    <w:p w:rsidR="00410E21" w:rsidRDefault="00410E21" w:rsidP="006A7330">
      <w:pPr>
        <w:pStyle w:val="Prrafodelista"/>
        <w:numPr>
          <w:ilvl w:val="0"/>
          <w:numId w:val="40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Estudio Estratégico Ambiental del Litoral Español (2009)</w:t>
      </w:r>
    </w:p>
    <w:p w:rsidR="00410E21" w:rsidRDefault="00410E21" w:rsidP="006A7330">
      <w:pPr>
        <w:pStyle w:val="Prrafodelista"/>
        <w:numPr>
          <w:ilvl w:val="0"/>
          <w:numId w:val="40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Estrategias Marinas</w:t>
      </w:r>
    </w:p>
    <w:p w:rsidR="00410E21" w:rsidRDefault="00410E21" w:rsidP="006A7330">
      <w:pPr>
        <w:pStyle w:val="Prrafodelista"/>
        <w:numPr>
          <w:ilvl w:val="0"/>
          <w:numId w:val="40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Ordenación del Espacio Marítimo</w:t>
      </w:r>
    </w:p>
    <w:p w:rsidR="00B25499" w:rsidRDefault="00410E21" w:rsidP="006A7330">
      <w:pPr>
        <w:pStyle w:val="Prrafodelista"/>
        <w:numPr>
          <w:ilvl w:val="0"/>
          <w:numId w:val="40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Otras normativas (Ley de Costas</w:t>
      </w:r>
      <w:r w:rsidR="00B2549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, Autorizaciones administrativas, ocupación de dominio público marítimo/terrestre, </w:t>
      </w:r>
      <w:proofErr w:type="spellStart"/>
      <w:r w:rsidR="00B25499">
        <w:rPr>
          <w:rFonts w:ascii="Calibri" w:eastAsiaTheme="majorEastAsia" w:hAnsi="Calibri" w:cs="Arial"/>
          <w:bCs/>
          <w:sz w:val="22"/>
          <w:szCs w:val="22"/>
          <w:lang w:val="es-ES"/>
        </w:rPr>
        <w:t>etc</w:t>
      </w:r>
      <w:proofErr w:type="spellEnd"/>
      <w:r w:rsidR="00B25499">
        <w:rPr>
          <w:rFonts w:ascii="Calibri" w:eastAsiaTheme="majorEastAsia" w:hAnsi="Calibri" w:cs="Arial"/>
          <w:bCs/>
          <w:sz w:val="22"/>
          <w:szCs w:val="22"/>
          <w:lang w:val="es-ES"/>
        </w:rPr>
        <w:t>).</w:t>
      </w:r>
    </w:p>
    <w:p w:rsidR="00F8009F" w:rsidRDefault="00F8009F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F8009F">
        <w:rPr>
          <w:rFonts w:ascii="Calibri" w:eastAsiaTheme="majorEastAsia" w:hAnsi="Calibri" w:cs="Arial"/>
          <w:bCs/>
          <w:sz w:val="22"/>
          <w:szCs w:val="22"/>
          <w:lang w:val="es-ES"/>
        </w:rPr>
        <w:t>En general los asistentes consideran que el RD 1028/2007 está bien estructurado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, en línea con otra regulación internacional (por ejemplo UK)</w:t>
      </w:r>
      <w:r w:rsidRPr="00F8009F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y constituye </w:t>
      </w:r>
      <w:r w:rsidR="00017E15">
        <w:rPr>
          <w:rFonts w:ascii="Calibri" w:eastAsiaTheme="majorEastAsia" w:hAnsi="Calibri" w:cs="Arial"/>
          <w:bCs/>
          <w:sz w:val="22"/>
          <w:szCs w:val="22"/>
          <w:lang w:val="es-ES"/>
        </w:rPr>
        <w:t>un buen punto de partida</w:t>
      </w:r>
      <w:r w:rsidRPr="00F8009F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para la tramitación de parques eólicos marinos. No obstante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,</w:t>
      </w:r>
      <w:r w:rsidRPr="00F8009F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es necesario actualizar algunos aspectos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que han quedado obsoletos, bien por cambios </w:t>
      </w:r>
      <w:r w:rsidR="00017E1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posteriores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en la </w:t>
      </w:r>
      <w:r w:rsidR="00832E21">
        <w:rPr>
          <w:rFonts w:ascii="Calibri" w:eastAsiaTheme="majorEastAsia" w:hAnsi="Calibri" w:cs="Arial"/>
          <w:bCs/>
          <w:sz w:val="22"/>
          <w:szCs w:val="22"/>
          <w:lang w:val="es-ES"/>
        </w:rPr>
        <w:t>regulación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, 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mejoras tecnológicas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o bien para su adaptación a buenas prácticas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de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otros países. </w:t>
      </w:r>
    </w:p>
    <w:p w:rsidR="0017322D" w:rsidRDefault="00F8009F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El 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>“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Estudio Estratégico Ambiental del Litoral Español para la Instalación de parques eólicos marinos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>”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>l año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2009 sigue vigente.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E</w:t>
      </w:r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>n e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ste estudio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se establece una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clasificación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de las 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áreas marinas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en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zonas aptas,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co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n condicionantes y zonas de exclusión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>, pero al igual que ocurre con el RD 1028/2007</w:t>
      </w:r>
      <w:r w:rsidR="00017E1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también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debe ser actualizado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, entre otras cosas porque en el momento de su aprobación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no existía 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la tecnología flotante, de menor afección en los fondos marinos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>. Entre otros aspectos, se considera que debería revisarse la exigencia de mantener una distancia mínima a la línea costera de 8 km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, por el mayor diámetro de los aerogeneradores actuales</w:t>
      </w:r>
    </w:p>
    <w:p w:rsidR="00017E15" w:rsidRDefault="00017E15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AEE presenta algunas propuestas de modificación de aspectos puntuales del RD 1028/2007, con el objetivo de abrir el debate entre los asistentes (ver presentación adjunta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“</w:t>
      </w:r>
      <w:r w:rsidRPr="00017E1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 xml:space="preserve">190529 GT </w:t>
      </w:r>
      <w:proofErr w:type="gramStart"/>
      <w:r w:rsidRPr="00017E1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>Offshore</w:t>
      </w:r>
      <w:proofErr w:type="gramEnd"/>
      <w:r w:rsidRPr="00017E1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 xml:space="preserve"> - </w:t>
      </w:r>
      <w:proofErr w:type="spellStart"/>
      <w:r w:rsidRPr="00017E1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>Kickoff</w:t>
      </w:r>
      <w:proofErr w:type="spellEnd"/>
      <w:r w:rsidRPr="00017E1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 xml:space="preserve"> Meeting.pdf</w:t>
      </w:r>
      <w:r w:rsidR="00F8302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>”</w:t>
      </w:r>
      <w:r w:rsidRPr="00017E15"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>)</w:t>
      </w:r>
      <w:r>
        <w:rPr>
          <w:rFonts w:ascii="Calibri" w:eastAsiaTheme="majorEastAsia" w:hAnsi="Calibri" w:cs="Arial"/>
          <w:bCs/>
          <w:i/>
          <w:sz w:val="22"/>
          <w:szCs w:val="22"/>
          <w:lang w:val="es-ES"/>
        </w:rPr>
        <w:t xml:space="preserve">.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Los asistentes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realizan las siguientes observaciones:</w:t>
      </w:r>
    </w:p>
    <w:p w:rsidR="0007290C" w:rsidRPr="00017E15" w:rsidRDefault="00C77D74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proofErr w:type="gram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regulación</w:t>
      </w:r>
      <w:r w:rsidR="0007290C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 a plantear</w:t>
      </w:r>
      <w:proofErr w:type="gramEnd"/>
      <w:r w:rsidR="0007290C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 desde AEE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debe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ría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ser de carácter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conceptua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l, sin entrar en detalles técnicos o administrativos demasiado específicos que puedan retrasar su 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an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á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lisis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por parte del Ministerio. Algunos asistentes recomiendan dividir las </w:t>
      </w:r>
      <w:r w:rsidR="00AC087F">
        <w:rPr>
          <w:rFonts w:ascii="Calibri" w:eastAsiaTheme="majorEastAsia" w:hAnsi="Calibri" w:cs="Arial"/>
          <w:bCs/>
          <w:sz w:val="22"/>
          <w:szCs w:val="22"/>
          <w:lang w:val="es-ES"/>
        </w:rPr>
        <w:t>propuestas en no más de 3 o 4 bloques (Caracterización de áreas eólicas, Reserva de zona, modificación del Procedimiento de Concurrencia y procedimiento de Autorización Administrativa).</w:t>
      </w:r>
    </w:p>
    <w:p w:rsidR="00017E15" w:rsidRDefault="00017E15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Acceso a la red: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Los asistentes no consideran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prioritario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que 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Red Eléctrica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realice un análisis exhaustivo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 la capacidad disponible para parques </w:t>
      </w:r>
      <w:proofErr w:type="gram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>offshore</w:t>
      </w:r>
      <w:proofErr w:type="gramEnd"/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en los diferentes nudos de la red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, como se hace en otros países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.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Es recomendable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mantener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el mecanismo previsto en el RD 1028/2007, por el que los promotores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pueden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activar el proceso de caracterización del área eólica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, mediante la presentación de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un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a solicitud de 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potencia </w:t>
      </w:r>
      <w:r w:rsidR="00832E21">
        <w:rPr>
          <w:rFonts w:ascii="Calibri" w:eastAsiaTheme="majorEastAsia" w:hAnsi="Calibri" w:cs="Arial"/>
          <w:bCs/>
          <w:sz w:val="22"/>
          <w:szCs w:val="22"/>
          <w:lang w:val="es-ES"/>
        </w:rPr>
        <w:t>para un proyecto determinado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</w:p>
    <w:p w:rsidR="00AC087F" w:rsidRDefault="00B10A9C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lastRenderedPageBreak/>
        <w:t>L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a </w:t>
      </w:r>
      <w:r w:rsidR="0007290C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concesión </w:t>
      </w:r>
      <w:r w:rsidR="00BE60CE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de la reserva de zona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07290C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debe estar siempre ligada al otorgamiento del acceso y conexión. </w:t>
      </w:r>
      <w:r w:rsidR="00AC087F">
        <w:rPr>
          <w:rFonts w:ascii="Calibri" w:eastAsiaTheme="majorEastAsia" w:hAnsi="Calibri" w:cs="Arial"/>
          <w:bCs/>
          <w:sz w:val="22"/>
          <w:szCs w:val="22"/>
          <w:lang w:val="es-ES"/>
        </w:rPr>
        <w:t>Su tramitación no debe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ría</w:t>
      </w:r>
      <w:r w:rsidR="00AC087F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gestionarse de forma independiente.</w:t>
      </w:r>
    </w:p>
    <w:p w:rsidR="00D91588" w:rsidRDefault="00D91588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Reserva de zona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: </w:t>
      </w:r>
      <w:r w:rsidR="00462670">
        <w:rPr>
          <w:rFonts w:ascii="Calibri" w:eastAsiaTheme="majorEastAsia" w:hAnsi="Calibri" w:cs="Arial"/>
          <w:bCs/>
          <w:sz w:val="22"/>
          <w:szCs w:val="22"/>
          <w:lang w:val="es-ES"/>
        </w:rPr>
        <w:t>Debería extenderse el periodo de reserva estipulado actualmente (2 años + 1), demasiado corto en comparación con el riesgo asumido, e insuficiente para realizar todos los ensayos y estudios necesarios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, debiendo ser al menos de cinco años</w:t>
      </w:r>
      <w:r w:rsidR="00462670">
        <w:rPr>
          <w:rFonts w:ascii="Calibri" w:eastAsiaTheme="majorEastAsia" w:hAnsi="Calibri" w:cs="Arial"/>
          <w:bCs/>
          <w:sz w:val="22"/>
          <w:szCs w:val="22"/>
          <w:lang w:val="es-ES"/>
        </w:rPr>
        <w:t>. Además, el proceso de concurrencia competitiva debería realizarse antes de la reserva de zona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, la cual debe ser firme </w:t>
      </w:r>
      <w:r w:rsidR="00462670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una vez otorgada, ya que es un elemento crítico para la FID (Final </w:t>
      </w:r>
      <w:proofErr w:type="spellStart"/>
      <w:r w:rsidR="00462670">
        <w:rPr>
          <w:rFonts w:ascii="Calibri" w:eastAsiaTheme="majorEastAsia" w:hAnsi="Calibri" w:cs="Arial"/>
          <w:bCs/>
          <w:sz w:val="22"/>
          <w:szCs w:val="22"/>
          <w:lang w:val="es-ES"/>
        </w:rPr>
        <w:t>Investment</w:t>
      </w:r>
      <w:proofErr w:type="spellEnd"/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proofErr w:type="spellStart"/>
      <w:r w:rsidR="00462670">
        <w:rPr>
          <w:rFonts w:ascii="Calibri" w:eastAsiaTheme="majorEastAsia" w:hAnsi="Calibri" w:cs="Arial"/>
          <w:bCs/>
          <w:sz w:val="22"/>
          <w:szCs w:val="22"/>
          <w:lang w:val="es-ES"/>
        </w:rPr>
        <w:t>Decision</w:t>
      </w:r>
      <w:proofErr w:type="spellEnd"/>
      <w:r w:rsidR="00462670">
        <w:rPr>
          <w:rFonts w:ascii="Calibri" w:eastAsiaTheme="majorEastAsia" w:hAnsi="Calibri" w:cs="Arial"/>
          <w:bCs/>
          <w:sz w:val="22"/>
          <w:szCs w:val="22"/>
          <w:lang w:val="es-ES"/>
        </w:rPr>
        <w:t>) de cualquier proyecto.</w:t>
      </w:r>
    </w:p>
    <w:p w:rsidR="0007290C" w:rsidRDefault="00AC087F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Se debe </w:t>
      </w:r>
      <w:r w:rsidR="00D91588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definir claramente el CAPEX de referencia para el </w:t>
      </w:r>
      <w:r w:rsidR="00D91588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cálculo de avales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. U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>n 2*1% parece excesivo</w:t>
      </w:r>
      <w:r w:rsidR="00D91588"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</w:p>
    <w:p w:rsidR="00BE60CE" w:rsidRDefault="00D91588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propuesta retributiv</w:t>
      </w:r>
      <w:r w:rsidR="005F05A6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a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que se elabore </w:t>
      </w:r>
      <w:r w:rsidR="005F05A6">
        <w:rPr>
          <w:rFonts w:ascii="Calibri" w:eastAsiaTheme="majorEastAsia" w:hAnsi="Calibri" w:cs="Arial"/>
          <w:bCs/>
          <w:sz w:val="22"/>
          <w:szCs w:val="22"/>
          <w:lang w:val="es-ES"/>
        </w:rPr>
        <w:t>desde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AEE debería </w:t>
      </w:r>
      <w:r w:rsidR="00B10A9C">
        <w:rPr>
          <w:rFonts w:ascii="Calibri" w:eastAsiaTheme="majorEastAsia" w:hAnsi="Calibri" w:cs="Arial"/>
          <w:bCs/>
          <w:sz w:val="22"/>
          <w:szCs w:val="22"/>
          <w:lang w:val="es-ES"/>
        </w:rPr>
        <w:t>contemplar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algún tipo de suelo o mecanismo de </w:t>
      </w:r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estabilización de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precio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a largo plazo</w:t>
      </w:r>
      <w:r w:rsidR="00BE60CE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para favorecer la financiación de los proyectos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</w:p>
    <w:p w:rsidR="00D91588" w:rsidRDefault="00D91588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Se considera que AEE debe profundizar también en el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régimen simplificado, pensado para la tramitación de parques experimentales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o </w:t>
      </w:r>
      <w:proofErr w:type="spell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>pre</w:t>
      </w:r>
      <w:r w:rsidR="00395DC9">
        <w:rPr>
          <w:rFonts w:ascii="Calibri" w:eastAsiaTheme="majorEastAsia" w:hAnsi="Calibri" w:cs="Arial"/>
          <w:bCs/>
          <w:sz w:val="22"/>
          <w:szCs w:val="22"/>
          <w:lang w:val="es-ES"/>
        </w:rPr>
        <w:t>-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comerciales</w:t>
      </w:r>
      <w:proofErr w:type="spellEnd"/>
      <w:r>
        <w:rPr>
          <w:rFonts w:ascii="Calibri" w:eastAsiaTheme="majorEastAsia" w:hAnsi="Calibri" w:cs="Arial"/>
          <w:bCs/>
          <w:sz w:val="22"/>
          <w:szCs w:val="22"/>
          <w:lang w:val="es-ES"/>
        </w:rPr>
        <w:t>, de potencia inferior a 50 MW. Uno de los aspectos clave es aclarar quien es el organismo competente para</w:t>
      </w:r>
      <w:r w:rsidR="00395DC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otorgar permisos de parques experimentales.</w:t>
      </w:r>
    </w:p>
    <w:p w:rsidR="00135D94" w:rsidRDefault="00135D94" w:rsidP="006A7330">
      <w:pPr>
        <w:pStyle w:val="Prrafodelista"/>
        <w:numPr>
          <w:ilvl w:val="0"/>
          <w:numId w:val="42"/>
        </w:numPr>
        <w:spacing w:before="120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Se considera también necesario centrarse en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proyectos y realidades concretas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ante la complejidad de la tecnología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,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para evitar la dispersión de esfuerzos.</w:t>
      </w:r>
    </w:p>
    <w:p w:rsidR="00E03469" w:rsidRDefault="00135D94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Tal y como se ha apuntado, a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demás de apoyar el desarrollo de nuevos proyectos, algunos asistentes consideran importante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 </w:t>
      </w:r>
      <w:r w:rsidR="00F83025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defensa de</w:t>
      </w:r>
      <w:r w:rsidR="00E03469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 los derechos adquiridos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C77D74">
        <w:rPr>
          <w:rFonts w:ascii="Calibri" w:eastAsiaTheme="majorEastAsia" w:hAnsi="Calibri" w:cs="Arial"/>
          <w:bCs/>
          <w:sz w:val="22"/>
          <w:szCs w:val="22"/>
          <w:lang w:val="es-ES"/>
        </w:rPr>
        <w:t>por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los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7.000</w:t>
      </w:r>
      <w:r w:rsidR="00C77D74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MW de 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proyectos </w:t>
      </w:r>
      <w:r w:rsidR="00D91588">
        <w:rPr>
          <w:rFonts w:ascii="Calibri" w:eastAsiaTheme="majorEastAsia" w:hAnsi="Calibri" w:cs="Arial"/>
          <w:bCs/>
          <w:sz w:val="22"/>
          <w:szCs w:val="22"/>
          <w:lang w:val="es-ES"/>
        </w:rPr>
        <w:t>ya presentados</w:t>
      </w:r>
      <w:r w:rsidR="00017E1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hace una década</w:t>
      </w:r>
      <w:r w:rsidR="00F83025">
        <w:rPr>
          <w:rFonts w:ascii="Calibri" w:eastAsiaTheme="majorEastAsia" w:hAnsi="Calibri" w:cs="Arial"/>
          <w:bCs/>
          <w:sz w:val="22"/>
          <w:szCs w:val="22"/>
          <w:lang w:val="es-ES"/>
        </w:rPr>
        <w:t>,</w:t>
      </w:r>
      <w:r w:rsidR="00017E1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incluso antes de la publicación del 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>RD 1028/2007.  Sin embargo</w:t>
      </w:r>
      <w:r w:rsidR="00017E15">
        <w:rPr>
          <w:rFonts w:ascii="Calibri" w:eastAsiaTheme="majorEastAsia" w:hAnsi="Calibri" w:cs="Arial"/>
          <w:bCs/>
          <w:sz w:val="22"/>
          <w:szCs w:val="22"/>
          <w:lang w:val="es-ES"/>
        </w:rPr>
        <w:t>,</w:t>
      </w:r>
      <w:r w:rsidR="00E0346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el Ministerio nunca llegó a publicar la “caracterización de áreas eólicas marinas” que debía dar pie a la apertura del procedimiento de concurrencia, presumiblemente por la elevada presión social recibida contra algunos proyectos, quedando así bloqueada su tramitación.</w:t>
      </w:r>
    </w:p>
    <w:p w:rsidR="005F05A6" w:rsidRDefault="005F05A6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coyuntura actual </w:t>
      </w:r>
      <w:r w:rsidR="00ED0CF7"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favorable en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 las islas Canarias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ED0CF7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puede utilizarse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como tractor para impulsar la eólica marina en España</w:t>
      </w:r>
      <w:r w:rsidR="00ED0CF7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: </w:t>
      </w:r>
    </w:p>
    <w:p w:rsidR="005F05A6" w:rsidRDefault="00ED0CF7" w:rsidP="005F05A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Buen recurso eólico e i</w:t>
      </w:r>
      <w:r w:rsidR="005F05A6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nterés </w:t>
      </w:r>
      <w:r w:rsidR="004155D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real </w:t>
      </w:r>
      <w:r w:rsidR="005F05A6">
        <w:rPr>
          <w:rFonts w:ascii="Calibri" w:eastAsiaTheme="majorEastAsia" w:hAnsi="Calibri" w:cs="Arial"/>
          <w:bCs/>
          <w:sz w:val="22"/>
          <w:szCs w:val="22"/>
          <w:lang w:val="es-ES"/>
        </w:rPr>
        <w:t>de</w:t>
      </w:r>
      <w:r w:rsidR="004155D5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algunos</w:t>
      </w:r>
      <w:r w:rsidR="003B7E1F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 w:rsidR="004155D5">
        <w:rPr>
          <w:rFonts w:ascii="Calibri" w:eastAsiaTheme="majorEastAsia" w:hAnsi="Calibri" w:cs="Arial"/>
          <w:bCs/>
          <w:sz w:val="22"/>
          <w:szCs w:val="22"/>
          <w:lang w:val="es-ES"/>
        </w:rPr>
        <w:t>promotores</w:t>
      </w:r>
      <w:r w:rsidR="005F05A6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para </w:t>
      </w:r>
      <w:r w:rsidR="004155D5">
        <w:rPr>
          <w:rFonts w:ascii="Calibri" w:eastAsiaTheme="majorEastAsia" w:hAnsi="Calibri" w:cs="Arial"/>
          <w:bCs/>
          <w:sz w:val="22"/>
          <w:szCs w:val="22"/>
          <w:lang w:val="es-ES"/>
        </w:rPr>
        <w:t>el desarrollo</w:t>
      </w:r>
      <w:r w:rsidR="005F05A6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 parques comerciales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</w:p>
    <w:p w:rsidR="005F05A6" w:rsidRDefault="005F05A6" w:rsidP="005F05A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Apoyo explícito del Gobierno de Canarias a la eólica marina</w:t>
      </w:r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</w:p>
    <w:p w:rsidR="005F05A6" w:rsidRDefault="005F05A6" w:rsidP="005F05A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Costes de generación elevados (por encima de 100 €/</w:t>
      </w:r>
      <w:proofErr w:type="spell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>MWh</w:t>
      </w:r>
      <w:proofErr w:type="spellEnd"/>
      <w:r>
        <w:rPr>
          <w:rFonts w:ascii="Calibri" w:eastAsiaTheme="majorEastAsia" w:hAnsi="Calibri" w:cs="Arial"/>
          <w:bCs/>
          <w:sz w:val="22"/>
          <w:szCs w:val="22"/>
          <w:lang w:val="es-ES"/>
        </w:rPr>
        <w:t>) que harían rentables los parques comerciales offshore sin la necesidad de incentivos adicionales.</w:t>
      </w:r>
    </w:p>
    <w:p w:rsidR="005F05A6" w:rsidRDefault="005F05A6" w:rsidP="005F05A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Plataforma </w:t>
      </w:r>
      <w:r w:rsidR="00ED0CF7">
        <w:rPr>
          <w:rFonts w:ascii="Calibri" w:eastAsiaTheme="majorEastAsia" w:hAnsi="Calibri" w:cs="Arial"/>
          <w:bCs/>
          <w:sz w:val="22"/>
          <w:szCs w:val="22"/>
          <w:lang w:val="es-ES"/>
        </w:rPr>
        <w:t>de ensayos PLOCAN.</w:t>
      </w:r>
    </w:p>
    <w:p w:rsidR="005F05A6" w:rsidRDefault="00ED0CF7" w:rsidP="00ED0CF7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No obstante, es necesario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elaborar un posicionamiento global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que también permita impulsar la eólica marina en la península.</w:t>
      </w:r>
    </w:p>
    <w:p w:rsidR="00644E56" w:rsidRDefault="00644E56" w:rsidP="00ED0CF7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Por último, desde el </w:t>
      </w:r>
      <w:r w:rsidRPr="00C77D74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IDAE se recomienda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que las propuestas a plantear a la Administración tengan en cuenta los siguientes puntos:</w:t>
      </w:r>
    </w:p>
    <w:p w:rsidR="00644E56" w:rsidRDefault="00644E56" w:rsidP="00644E5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Análisis de</w:t>
      </w:r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las causas de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paralización de los proyectos iniciales.</w:t>
      </w:r>
    </w:p>
    <w:p w:rsidR="00644E56" w:rsidRDefault="00644E56" w:rsidP="00644E5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Falta de recursos </w:t>
      </w:r>
      <w:r w:rsidR="00135D94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humanos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en MITECO. La Administración debe dotarse de la estructura necesaria para gestionar adecuadamente las iniciativas sobre eólica marina, equivalente a lo que han hecho en otros países (</w:t>
      </w:r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por </w:t>
      </w:r>
      <w:proofErr w:type="gramStart"/>
      <w:r w:rsidR="00A61A32">
        <w:rPr>
          <w:rFonts w:ascii="Calibri" w:eastAsiaTheme="majorEastAsia" w:hAnsi="Calibri" w:cs="Arial"/>
          <w:bCs/>
          <w:sz w:val="22"/>
          <w:szCs w:val="22"/>
          <w:lang w:val="es-ES"/>
        </w:rPr>
        <w:t>ejemplo</w:t>
      </w:r>
      <w:proofErr w:type="gramEnd"/>
      <w:r w:rsidR="00395DC9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UK, DK, </w:t>
      </w:r>
      <w:proofErr w:type="spell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>etc</w:t>
      </w:r>
      <w:proofErr w:type="spellEnd"/>
      <w:r>
        <w:rPr>
          <w:rFonts w:ascii="Calibri" w:eastAsiaTheme="majorEastAsia" w:hAnsi="Calibri" w:cs="Arial"/>
          <w:bCs/>
          <w:sz w:val="22"/>
          <w:szCs w:val="22"/>
          <w:lang w:val="es-ES"/>
        </w:rPr>
        <w:t>).</w:t>
      </w:r>
    </w:p>
    <w:p w:rsidR="00644E56" w:rsidRPr="00644E56" w:rsidRDefault="00644E56" w:rsidP="00644E56">
      <w:pPr>
        <w:pStyle w:val="Prrafodelista"/>
        <w:numPr>
          <w:ilvl w:val="0"/>
          <w:numId w:val="40"/>
        </w:num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Reparto </w:t>
      </w:r>
      <w:r w:rsidR="00135D94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claro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de competencias entre la AGE y las CCAA: Las propuestas deben ir dirigidas a la Administración adecuada.</w:t>
      </w:r>
    </w:p>
    <w:p w:rsidR="00E5144D" w:rsidRPr="00BC4A85" w:rsidRDefault="00E5144D" w:rsidP="006A7330">
      <w:pPr>
        <w:spacing w:before="120"/>
        <w:rPr>
          <w:rFonts w:ascii="Calibri" w:eastAsiaTheme="majorEastAsia" w:hAnsi="Calibri" w:cs="Arial"/>
          <w:b/>
          <w:bCs/>
          <w:szCs w:val="40"/>
          <w:u w:val="single"/>
          <w:lang w:val="es-ES"/>
        </w:rPr>
      </w:pPr>
      <w:bookmarkStart w:id="1" w:name="_Hlk536017762"/>
    </w:p>
    <w:p w:rsidR="00AC087F" w:rsidRPr="00AC087F" w:rsidRDefault="00AC087F" w:rsidP="006A7330">
      <w:pPr>
        <w:spacing w:before="120"/>
        <w:jc w:val="both"/>
        <w:rPr>
          <w:rFonts w:ascii="Calibri" w:eastAsiaTheme="majorEastAsia" w:hAnsi="Calibri" w:cs="Arial"/>
          <w:b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3. </w:t>
      </w:r>
      <w:r w:rsidRPr="00AC087F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Proyectos innovadores y Presentación de los objetivos sobre eólica marina de REOLTEC</w:t>
      </w:r>
    </w:p>
    <w:p w:rsidR="00AC087F" w:rsidRDefault="00AC087F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AEE realiza una breve presentación de los proyectos innovadores españoles relacionados con eólica flotante, que a día de hoy se encuentran más maduros tecnológicamente. </w:t>
      </w:r>
    </w:p>
    <w:p w:rsidR="00AC087F" w:rsidRDefault="00AC087F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 intención de </w:t>
      </w:r>
      <w:r w:rsidR="00D4381B">
        <w:rPr>
          <w:rFonts w:ascii="Calibri" w:eastAsiaTheme="majorEastAsia" w:hAnsi="Calibri" w:cs="Arial"/>
          <w:bCs/>
          <w:sz w:val="22"/>
          <w:szCs w:val="22"/>
          <w:lang w:val="es-ES"/>
        </w:rPr>
        <w:t>REOLTEC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es realizar una recopilación más exhaustiva </w:t>
      </w:r>
      <w:r w:rsidR="00B10A9C">
        <w:rPr>
          <w:rFonts w:ascii="Calibri" w:eastAsiaTheme="majorEastAsia" w:hAnsi="Calibri" w:cs="Arial"/>
          <w:bCs/>
          <w:sz w:val="22"/>
          <w:szCs w:val="22"/>
          <w:lang w:val="es-ES"/>
        </w:rPr>
        <w:t>de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proyectos españoles de eólica offshore, no sólo de flotante. Para ello se solicita a los asistentes que proporcionen información sobre aquellos proyectos que quieran ser 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>difundidos.</w:t>
      </w:r>
    </w:p>
    <w:p w:rsidR="00AC087F" w:rsidRDefault="00AC087F" w:rsidP="006A7330">
      <w:pPr>
        <w:spacing w:before="120"/>
        <w:rPr>
          <w:rFonts w:ascii="Calibri" w:eastAsiaTheme="majorEastAsia" w:hAnsi="Calibri" w:cs="Arial"/>
          <w:b/>
          <w:bCs/>
          <w:lang w:val="es-ES"/>
        </w:rPr>
      </w:pPr>
    </w:p>
    <w:p w:rsidR="00AC087F" w:rsidRPr="00AC087F" w:rsidRDefault="00AC087F" w:rsidP="006A7330">
      <w:pPr>
        <w:spacing w:before="120"/>
        <w:jc w:val="both"/>
        <w:rPr>
          <w:rFonts w:ascii="Calibri" w:eastAsiaTheme="majorEastAsia" w:hAnsi="Calibri" w:cs="Arial"/>
          <w:b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 xml:space="preserve">4. </w:t>
      </w:r>
      <w:r w:rsidRPr="00AC087F">
        <w:rPr>
          <w:rFonts w:ascii="Calibri" w:eastAsiaTheme="majorEastAsia" w:hAnsi="Calibri" w:cs="Arial"/>
          <w:b/>
          <w:bCs/>
          <w:sz w:val="22"/>
          <w:szCs w:val="22"/>
          <w:lang w:val="es-ES"/>
        </w:rPr>
        <w:t>Conclusiones, próximos pasos, ruegos y preguntas.</w:t>
      </w:r>
    </w:p>
    <w:p w:rsidR="006A7330" w:rsidRDefault="006A7330" w:rsidP="006A7330">
      <w:pPr>
        <w:spacing w:before="12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Los próximos pasos</w:t>
      </w:r>
      <w:r w:rsidR="00320D61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del Grupo de Trabajo será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n:</w:t>
      </w:r>
    </w:p>
    <w:p w:rsidR="00AC087F" w:rsidRDefault="00EC6EA3" w:rsidP="00EC6EA3">
      <w:pPr>
        <w:pStyle w:val="Prrafodelista"/>
        <w:numPr>
          <w:ilvl w:val="0"/>
          <w:numId w:val="40"/>
        </w:numPr>
        <w:spacing w:before="120"/>
        <w:ind w:left="714" w:hanging="357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>E</w:t>
      </w:r>
      <w:r w:rsidR="00320D61" w:rsidRPr="006A7330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laborar un documento de posicionamiento </w:t>
      </w:r>
      <w:r w:rsidR="006A7330" w:rsidRPr="006A7330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que contenga las propuestas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de cambios normativos </w:t>
      </w:r>
      <w:r w:rsidR="006A7330" w:rsidRPr="006A7330">
        <w:rPr>
          <w:rFonts w:ascii="Calibri" w:eastAsiaTheme="majorEastAsia" w:hAnsi="Calibri" w:cs="Arial"/>
          <w:bCs/>
          <w:sz w:val="22"/>
          <w:szCs w:val="22"/>
          <w:lang w:val="es-ES"/>
        </w:rPr>
        <w:t>del sector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, orientadas a </w:t>
      </w:r>
      <w:r w:rsidR="006A7330" w:rsidRPr="006A7330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viabilizar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la construcción de parques offshore comerciales en España. AEE preparará un primer borrador con los </w:t>
      </w:r>
      <w:r w:rsidR="00135D94">
        <w:rPr>
          <w:rFonts w:ascii="Calibri" w:eastAsiaTheme="majorEastAsia" w:hAnsi="Calibri" w:cs="Arial"/>
          <w:bCs/>
          <w:sz w:val="22"/>
          <w:szCs w:val="22"/>
          <w:lang w:val="es-ES"/>
        </w:rPr>
        <w:t>elementos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principales, </w:t>
      </w:r>
      <w:r w:rsidR="00C368E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considerando también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los comentarios que se reciban </w:t>
      </w:r>
      <w:proofErr w:type="gram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>al</w:t>
      </w:r>
      <w:r w:rsidR="00C77D74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presente acta</w:t>
      </w:r>
      <w:proofErr w:type="gramEnd"/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. El borrador se circulará </w:t>
      </w:r>
      <w:r w:rsidR="00C368E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y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se analizará en </w:t>
      </w:r>
      <w:r w:rsidR="00C368E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próxima 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reunión</w:t>
      </w:r>
      <w:r w:rsidR="00C368E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del GT</w:t>
      </w:r>
      <w:r>
        <w:rPr>
          <w:rFonts w:ascii="Calibri" w:eastAsiaTheme="majorEastAsia" w:hAnsi="Calibri" w:cs="Arial"/>
          <w:bCs/>
          <w:sz w:val="22"/>
          <w:szCs w:val="22"/>
          <w:lang w:val="es-ES"/>
        </w:rPr>
        <w:t>.</w:t>
      </w:r>
      <w:r w:rsidR="00012C7D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El documento final se distribuirá a los organismos con competencias en la materia (MITECO, IDAE, CNMC).</w:t>
      </w:r>
    </w:p>
    <w:p w:rsidR="00EC6EA3" w:rsidRDefault="00EC6EA3" w:rsidP="00EC6EA3">
      <w:pPr>
        <w:pStyle w:val="Prrafodelista"/>
        <w:numPr>
          <w:ilvl w:val="0"/>
          <w:numId w:val="40"/>
        </w:numPr>
        <w:spacing w:before="120"/>
        <w:ind w:left="714" w:hanging="357"/>
        <w:contextualSpacing w:val="0"/>
        <w:jc w:val="both"/>
        <w:rPr>
          <w:rFonts w:ascii="Calibri" w:eastAsiaTheme="majorEastAsia" w:hAnsi="Calibri" w:cs="Arial"/>
          <w:bCs/>
          <w:sz w:val="22"/>
          <w:szCs w:val="22"/>
          <w:lang w:val="es-ES"/>
        </w:rPr>
      </w:pPr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Extender el análisis anterior al régimen simplificado, para la tramitación de parques experimentales o </w:t>
      </w:r>
      <w:proofErr w:type="spellStart"/>
      <w:r>
        <w:rPr>
          <w:rFonts w:ascii="Calibri" w:eastAsiaTheme="majorEastAsia" w:hAnsi="Calibri" w:cs="Arial"/>
          <w:bCs/>
          <w:sz w:val="22"/>
          <w:szCs w:val="22"/>
          <w:lang w:val="es-ES"/>
        </w:rPr>
        <w:t>precomerciales</w:t>
      </w:r>
      <w:proofErr w:type="spellEnd"/>
      <w:r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(P&lt;50MW).</w:t>
      </w:r>
    </w:p>
    <w:p w:rsidR="00AC087F" w:rsidRPr="00A61A32" w:rsidRDefault="00EC6EA3" w:rsidP="00BE60CE">
      <w:pPr>
        <w:pStyle w:val="Prrafodelista"/>
        <w:numPr>
          <w:ilvl w:val="0"/>
          <w:numId w:val="40"/>
        </w:numPr>
        <w:spacing w:before="120"/>
        <w:ind w:left="714" w:hanging="357"/>
        <w:contextualSpacing w:val="0"/>
        <w:jc w:val="both"/>
        <w:rPr>
          <w:rFonts w:ascii="Calibri" w:eastAsiaTheme="majorEastAsia" w:hAnsi="Calibri" w:cs="Arial"/>
          <w:b/>
          <w:bCs/>
          <w:lang w:val="es-ES"/>
        </w:rPr>
      </w:pPr>
      <w:r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Identificar las ubicaciones más idóneas para la instalación de parques eólicos marinos en España, con el objetivo </w:t>
      </w:r>
      <w:r w:rsidR="00A61A32"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>de</w:t>
      </w:r>
      <w:r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defenderlas en los foros </w:t>
      </w:r>
      <w:r w:rsidR="00A61A32"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>de</w:t>
      </w:r>
      <w:r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 la Ordenación del Espacio Marino y las Estrategias Marinas </w:t>
      </w:r>
      <w:r w:rsidR="00A61A32"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 xml:space="preserve">de </w:t>
      </w:r>
      <w:r w:rsidRPr="00A61A32">
        <w:rPr>
          <w:rFonts w:ascii="Calibri" w:eastAsiaTheme="majorEastAsia" w:hAnsi="Calibri" w:cs="Arial"/>
          <w:bCs/>
          <w:sz w:val="22"/>
          <w:szCs w:val="22"/>
          <w:lang w:val="es-ES"/>
        </w:rPr>
        <w:t>MITECO.</w:t>
      </w:r>
      <w:r w:rsidR="00AC087F" w:rsidRPr="00A61A32">
        <w:rPr>
          <w:rFonts w:ascii="Calibri" w:eastAsiaTheme="majorEastAsia" w:hAnsi="Calibri" w:cs="Arial"/>
          <w:b/>
          <w:bCs/>
          <w:lang w:val="es-ES"/>
        </w:rPr>
        <w:br w:type="page"/>
      </w:r>
    </w:p>
    <w:p w:rsidR="001724C4" w:rsidRPr="00BC4A85" w:rsidRDefault="001724C4" w:rsidP="001724C4">
      <w:pPr>
        <w:jc w:val="both"/>
        <w:rPr>
          <w:rFonts w:ascii="Calibri" w:eastAsiaTheme="majorEastAsia" w:hAnsi="Calibri" w:cs="Arial"/>
          <w:b/>
          <w:bCs/>
          <w:lang w:val="es-ES"/>
        </w:rPr>
      </w:pPr>
      <w:r w:rsidRPr="00BC4A85">
        <w:rPr>
          <w:rFonts w:ascii="Calibri" w:eastAsiaTheme="majorEastAsia" w:hAnsi="Calibri" w:cs="Arial"/>
          <w:b/>
          <w:bCs/>
          <w:lang w:val="es-ES"/>
        </w:rPr>
        <w:lastRenderedPageBreak/>
        <w:t>ANEXO: Listado de Asistentes:</w:t>
      </w:r>
    </w:p>
    <w:p w:rsidR="001724C4" w:rsidRPr="00BC4A85" w:rsidRDefault="001724C4" w:rsidP="001724C4">
      <w:pPr>
        <w:rPr>
          <w:rFonts w:ascii="Calibri" w:eastAsiaTheme="majorEastAsia" w:hAnsi="Calibri" w:cs="Arial"/>
          <w:b/>
          <w:bCs/>
          <w:szCs w:val="4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832"/>
        <w:gridCol w:w="3116"/>
      </w:tblGrid>
      <w:tr w:rsidR="005F05A6" w:rsidRPr="00BC4A85" w:rsidTr="00B711DA">
        <w:trPr>
          <w:tblHeader/>
        </w:trPr>
        <w:tc>
          <w:tcPr>
            <w:tcW w:w="2547" w:type="dxa"/>
            <w:shd w:val="clear" w:color="auto" w:fill="0070C0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832" w:type="dxa"/>
            <w:shd w:val="clear" w:color="auto" w:fill="0070C0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  <w:lang w:val="es-ES" w:eastAsia="en-US"/>
              </w:rPr>
              <w:t>Empresa</w:t>
            </w:r>
          </w:p>
        </w:tc>
        <w:tc>
          <w:tcPr>
            <w:tcW w:w="3116" w:type="dxa"/>
            <w:shd w:val="clear" w:color="auto" w:fill="0070C0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  <w:lang w:val="es-ES" w:eastAsia="en-US"/>
              </w:rPr>
              <w:t>Modalidad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Alberto Ceña</w:t>
            </w:r>
          </w:p>
        </w:tc>
        <w:tc>
          <w:tcPr>
            <w:tcW w:w="2832" w:type="dxa"/>
            <w:vAlign w:val="center"/>
          </w:tcPr>
          <w:p w:rsidR="005F05A6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AEE</w:t>
            </w:r>
          </w:p>
        </w:tc>
        <w:tc>
          <w:tcPr>
            <w:tcW w:w="3116" w:type="dxa"/>
            <w:vAlign w:val="center"/>
          </w:tcPr>
          <w:p w:rsidR="005F05A6" w:rsidRPr="000B3314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Elena Velázquez</w:t>
            </w:r>
          </w:p>
        </w:tc>
        <w:tc>
          <w:tcPr>
            <w:tcW w:w="2832" w:type="dxa"/>
            <w:vAlign w:val="center"/>
          </w:tcPr>
          <w:p w:rsidR="005F05A6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AEE</w:t>
            </w:r>
          </w:p>
        </w:tc>
        <w:tc>
          <w:tcPr>
            <w:tcW w:w="3116" w:type="dxa"/>
            <w:vAlign w:val="center"/>
          </w:tcPr>
          <w:p w:rsidR="005F05A6" w:rsidRPr="000B3314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Tomás Romagosa</w:t>
            </w:r>
          </w:p>
        </w:tc>
        <w:tc>
          <w:tcPr>
            <w:tcW w:w="2832" w:type="dxa"/>
            <w:vAlign w:val="center"/>
          </w:tcPr>
          <w:p w:rsidR="005F05A6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AEE</w:t>
            </w:r>
          </w:p>
        </w:tc>
        <w:tc>
          <w:tcPr>
            <w:tcW w:w="3116" w:type="dxa"/>
            <w:vAlign w:val="center"/>
          </w:tcPr>
          <w:p w:rsidR="005F05A6" w:rsidRPr="000B3314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Default="00B711DA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Heikki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Willsted</w:t>
            </w:r>
            <w:proofErr w:type="spellEnd"/>
          </w:p>
        </w:tc>
        <w:tc>
          <w:tcPr>
            <w:tcW w:w="2832" w:type="dxa"/>
            <w:vAlign w:val="center"/>
          </w:tcPr>
          <w:p w:rsidR="00B711DA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AEE</w:t>
            </w:r>
          </w:p>
        </w:tc>
        <w:tc>
          <w:tcPr>
            <w:tcW w:w="3116" w:type="dxa"/>
            <w:vAlign w:val="center"/>
          </w:tcPr>
          <w:p w:rsidR="00B711DA" w:rsidRPr="000B3314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Default="00B711DA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Juan Virgilio Márq</w:t>
            </w:r>
            <w:r w:rsidR="00832E21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u</w:t>
            </w: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ez</w:t>
            </w:r>
          </w:p>
        </w:tc>
        <w:tc>
          <w:tcPr>
            <w:tcW w:w="2832" w:type="dxa"/>
            <w:vAlign w:val="center"/>
          </w:tcPr>
          <w:p w:rsidR="00B711DA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AEE</w:t>
            </w:r>
          </w:p>
        </w:tc>
        <w:tc>
          <w:tcPr>
            <w:tcW w:w="3116" w:type="dxa"/>
            <w:vAlign w:val="center"/>
          </w:tcPr>
          <w:p w:rsidR="00B711DA" w:rsidRPr="000B3314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BC4A85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David Aguado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Abo</w:t>
            </w:r>
            <w:r w:rsidR="00B711DA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wind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Albero Rodríguez Rocha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ACS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Alberto Cerro Lorenzo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ACS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Julio César Álvarez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Bosch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Ildefonso Canelo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Torrescusa</w:t>
            </w:r>
            <w:proofErr w:type="spellEnd"/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Disa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Joaquín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Gurriarán</w:t>
            </w:r>
            <w:proofErr w:type="spellEnd"/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Disa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Manuel Fernández García del Campo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EDPR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Ann Marit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Equinor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Javier Rodríguez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Equinor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Lara Cerdán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Esteyco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David Sarracín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Esteyco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Inés Martín Grandes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Fugro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Micaela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O’Donohoe</w:t>
            </w:r>
            <w:proofErr w:type="spellEnd"/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GE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Juan Ramón Ayuso</w:t>
            </w:r>
          </w:p>
        </w:tc>
        <w:tc>
          <w:tcPr>
            <w:tcW w:w="2832" w:type="dxa"/>
            <w:vAlign w:val="center"/>
          </w:tcPr>
          <w:p w:rsidR="005F05A6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IDAE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César Yanes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Iberdrola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Juan Amate</w:t>
            </w:r>
            <w:r w:rsidR="00B711DA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 López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Iberdrola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BC4A85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Nailia Dindarova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Principle</w:t>
            </w:r>
            <w:proofErr w:type="spellEnd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 Power</w:t>
            </w:r>
          </w:p>
        </w:tc>
        <w:tc>
          <w:tcPr>
            <w:tcW w:w="3116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966887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 xml:space="preserve">Ferrán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Garrigosa</w:t>
            </w:r>
            <w:proofErr w:type="spellEnd"/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Segula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966887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966887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Roberto Gamella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SGS</w:t>
            </w:r>
          </w:p>
        </w:tc>
        <w:tc>
          <w:tcPr>
            <w:tcW w:w="3116" w:type="dxa"/>
            <w:vAlign w:val="center"/>
          </w:tcPr>
          <w:p w:rsidR="005F05A6" w:rsidRPr="00966887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966887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Ángeles Mora</w:t>
            </w:r>
          </w:p>
        </w:tc>
        <w:tc>
          <w:tcPr>
            <w:tcW w:w="2832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Siemens Gamesa</w:t>
            </w:r>
          </w:p>
        </w:tc>
        <w:tc>
          <w:tcPr>
            <w:tcW w:w="3116" w:type="dxa"/>
            <w:vAlign w:val="center"/>
          </w:tcPr>
          <w:p w:rsidR="005F05A6" w:rsidRPr="00966887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966887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lastRenderedPageBreak/>
              <w:t>Francisco Royano</w:t>
            </w:r>
          </w:p>
        </w:tc>
        <w:tc>
          <w:tcPr>
            <w:tcW w:w="2832" w:type="dxa"/>
            <w:vAlign w:val="center"/>
          </w:tcPr>
          <w:p w:rsidR="005F05A6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IHCantabria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966887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5F05A6" w:rsidRPr="00966887" w:rsidTr="00B711DA">
        <w:tc>
          <w:tcPr>
            <w:tcW w:w="2547" w:type="dxa"/>
            <w:vAlign w:val="center"/>
          </w:tcPr>
          <w:p w:rsidR="005F05A6" w:rsidRPr="00BC4A85" w:rsidRDefault="005F05A6" w:rsidP="00B711D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Raúl Guanche</w:t>
            </w:r>
          </w:p>
        </w:tc>
        <w:tc>
          <w:tcPr>
            <w:tcW w:w="2832" w:type="dxa"/>
            <w:vAlign w:val="center"/>
          </w:tcPr>
          <w:p w:rsidR="005F05A6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IHCantabria</w:t>
            </w:r>
            <w:proofErr w:type="spellEnd"/>
          </w:p>
        </w:tc>
        <w:tc>
          <w:tcPr>
            <w:tcW w:w="3116" w:type="dxa"/>
            <w:vAlign w:val="center"/>
          </w:tcPr>
          <w:p w:rsidR="005F05A6" w:rsidRPr="00966887" w:rsidRDefault="005F05A6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 w:rsidRPr="000B3314"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Presencial</w:t>
            </w:r>
          </w:p>
        </w:tc>
      </w:tr>
      <w:tr w:rsidR="001724C4" w:rsidRPr="00BC4A85" w:rsidTr="00B711DA">
        <w:tc>
          <w:tcPr>
            <w:tcW w:w="2547" w:type="dxa"/>
            <w:vAlign w:val="center"/>
          </w:tcPr>
          <w:p w:rsidR="001724C4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ED0CF7">
              <w:rPr>
                <w:rFonts w:ascii="Calibri" w:hAnsi="Calibri" w:cs="Calibri"/>
                <w:sz w:val="22"/>
                <w:szCs w:val="22"/>
              </w:rPr>
              <w:t>avier López</w:t>
            </w:r>
          </w:p>
        </w:tc>
        <w:tc>
          <w:tcPr>
            <w:tcW w:w="2832" w:type="dxa"/>
            <w:vAlign w:val="center"/>
          </w:tcPr>
          <w:p w:rsidR="001724C4" w:rsidRPr="00ED0CF7" w:rsidRDefault="00ED0CF7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</w:t>
            </w:r>
          </w:p>
        </w:tc>
        <w:tc>
          <w:tcPr>
            <w:tcW w:w="3116" w:type="dxa"/>
            <w:vAlign w:val="center"/>
          </w:tcPr>
          <w:p w:rsidR="001724C4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Etienne Le PARGNEUX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Acofi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832E21" w:rsidRPr="00BC4A85" w:rsidTr="00BE60CE">
        <w:tc>
          <w:tcPr>
            <w:tcW w:w="2547" w:type="dxa"/>
            <w:vAlign w:val="center"/>
          </w:tcPr>
          <w:p w:rsidR="00832E21" w:rsidRPr="0084047F" w:rsidRDefault="00832E21" w:rsidP="00BE60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Carlos Bernabéu</w:t>
            </w:r>
          </w:p>
        </w:tc>
        <w:tc>
          <w:tcPr>
            <w:tcW w:w="2832" w:type="dxa"/>
            <w:vAlign w:val="center"/>
          </w:tcPr>
          <w:p w:rsidR="00832E21" w:rsidRPr="00BC4A85" w:rsidRDefault="00832E21" w:rsidP="00BE60C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Arborea</w:t>
            </w:r>
          </w:p>
        </w:tc>
        <w:tc>
          <w:tcPr>
            <w:tcW w:w="3116" w:type="dxa"/>
            <w:vAlign w:val="center"/>
          </w:tcPr>
          <w:p w:rsidR="00832E21" w:rsidRPr="00BC4A85" w:rsidRDefault="00832E21" w:rsidP="00BE60C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Dorleta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Marina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Bimep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762EE8" w:rsidRPr="00BC4A85" w:rsidTr="00B711DA">
        <w:tc>
          <w:tcPr>
            <w:tcW w:w="2547" w:type="dxa"/>
            <w:vAlign w:val="center"/>
          </w:tcPr>
          <w:p w:rsidR="00762EE8" w:rsidRDefault="00762EE8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Cristina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Vigon</w:t>
            </w:r>
            <w:proofErr w:type="spellEnd"/>
          </w:p>
        </w:tc>
        <w:tc>
          <w:tcPr>
            <w:tcW w:w="2832" w:type="dxa"/>
            <w:vAlign w:val="center"/>
          </w:tcPr>
          <w:p w:rsidR="00762EE8" w:rsidRDefault="00762EE8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EDPR</w:t>
            </w:r>
          </w:p>
        </w:tc>
        <w:tc>
          <w:tcPr>
            <w:tcW w:w="3116" w:type="dxa"/>
            <w:vAlign w:val="center"/>
          </w:tcPr>
          <w:p w:rsidR="00762EE8" w:rsidRDefault="00762EE8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Peña Herrero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Enhol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Xisca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Ferrero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Eolos</w:t>
            </w:r>
            <w:proofErr w:type="spellEnd"/>
            <w:r w:rsidR="00B11F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Solutions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Ion Etxarri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Ingeteam</w:t>
            </w:r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José García Franquelo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Isotrol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Jean Baptiste Bilbao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Laulagun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ED0CF7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José M. Busturia</w:t>
            </w:r>
          </w:p>
        </w:tc>
        <w:tc>
          <w:tcPr>
            <w:tcW w:w="2832" w:type="dxa"/>
            <w:vAlign w:val="center"/>
          </w:tcPr>
          <w:p w:rsidR="00B711DA" w:rsidRPr="00ED0CF7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Nautilus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B711DA" w:rsidRPr="00BC4A85" w:rsidTr="00B711DA">
        <w:tc>
          <w:tcPr>
            <w:tcW w:w="2547" w:type="dxa"/>
            <w:vAlign w:val="center"/>
          </w:tcPr>
          <w:p w:rsidR="00B711DA" w:rsidRPr="0084047F" w:rsidRDefault="00B711DA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Moya</w:t>
            </w:r>
          </w:p>
        </w:tc>
        <w:tc>
          <w:tcPr>
            <w:tcW w:w="2832" w:type="dxa"/>
            <w:vAlign w:val="center"/>
          </w:tcPr>
          <w:p w:rsidR="00B711DA" w:rsidRPr="0084047F" w:rsidRDefault="00B711DA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Saitec</w:t>
            </w:r>
            <w:proofErr w:type="spellEnd"/>
          </w:p>
        </w:tc>
        <w:tc>
          <w:tcPr>
            <w:tcW w:w="3116" w:type="dxa"/>
            <w:vAlign w:val="center"/>
          </w:tcPr>
          <w:p w:rsidR="00B711DA" w:rsidRPr="00BC4A85" w:rsidRDefault="00B711DA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Default="006B6331" w:rsidP="00B71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Estornes</w:t>
            </w:r>
            <w:proofErr w:type="spellEnd"/>
          </w:p>
        </w:tc>
        <w:tc>
          <w:tcPr>
            <w:tcW w:w="2832" w:type="dxa"/>
            <w:vAlign w:val="center"/>
          </w:tcPr>
          <w:p w:rsidR="006B6331" w:rsidRDefault="006B6331" w:rsidP="00B711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Siemens Gamesa</w:t>
            </w:r>
          </w:p>
        </w:tc>
        <w:tc>
          <w:tcPr>
            <w:tcW w:w="3116" w:type="dxa"/>
            <w:vAlign w:val="center"/>
          </w:tcPr>
          <w:p w:rsidR="006B6331" w:rsidRDefault="006B6331" w:rsidP="00B711D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José Luis Villate</w:t>
            </w:r>
          </w:p>
        </w:tc>
        <w:tc>
          <w:tcPr>
            <w:tcW w:w="2832" w:type="dxa"/>
            <w:vAlign w:val="center"/>
          </w:tcPr>
          <w:p w:rsidR="006B6331" w:rsidRDefault="006B6331" w:rsidP="006B6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Tecnalia</w:t>
            </w:r>
            <w:proofErr w:type="spellEnd"/>
          </w:p>
        </w:tc>
        <w:tc>
          <w:tcPr>
            <w:tcW w:w="3116" w:type="dxa"/>
            <w:vAlign w:val="center"/>
          </w:tcPr>
          <w:p w:rsidR="006B6331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84047F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Germán Pérez</w:t>
            </w:r>
          </w:p>
        </w:tc>
        <w:tc>
          <w:tcPr>
            <w:tcW w:w="2832" w:type="dxa"/>
            <w:vAlign w:val="center"/>
          </w:tcPr>
          <w:p w:rsidR="006B6331" w:rsidRPr="0084047F" w:rsidRDefault="006B6331" w:rsidP="006B6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Tecnalia</w:t>
            </w:r>
            <w:proofErr w:type="spellEnd"/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84047F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Javier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Abanades</w:t>
            </w:r>
            <w:proofErr w:type="spellEnd"/>
          </w:p>
        </w:tc>
        <w:tc>
          <w:tcPr>
            <w:tcW w:w="2832" w:type="dxa"/>
            <w:vAlign w:val="center"/>
          </w:tcPr>
          <w:p w:rsidR="006B6331" w:rsidRPr="0084047F" w:rsidRDefault="006B6331" w:rsidP="006B6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Typsa</w:t>
            </w:r>
            <w:proofErr w:type="spellEnd"/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84047F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José Landete Pascual</w:t>
            </w:r>
          </w:p>
        </w:tc>
        <w:tc>
          <w:tcPr>
            <w:tcW w:w="2832" w:type="dxa"/>
            <w:vAlign w:val="center"/>
          </w:tcPr>
          <w:p w:rsidR="006B6331" w:rsidRPr="0084047F" w:rsidRDefault="006B6331" w:rsidP="006B6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Typsa</w:t>
            </w:r>
            <w:proofErr w:type="spellEnd"/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84047F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Santiago Parés</w:t>
            </w:r>
          </w:p>
        </w:tc>
        <w:tc>
          <w:tcPr>
            <w:tcW w:w="2832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UL</w:t>
            </w:r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B711DA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Pedro Huarte</w:t>
            </w:r>
          </w:p>
        </w:tc>
        <w:tc>
          <w:tcPr>
            <w:tcW w:w="2832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Vestas</w:t>
            </w:r>
            <w:proofErr w:type="spellEnd"/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B711DA" w:rsidRDefault="006B6331" w:rsidP="006B63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 Raventós</w:t>
            </w:r>
          </w:p>
        </w:tc>
        <w:tc>
          <w:tcPr>
            <w:tcW w:w="2832" w:type="dxa"/>
            <w:vAlign w:val="center"/>
          </w:tcPr>
          <w:p w:rsidR="006B6331" w:rsidRPr="00B711DA" w:rsidRDefault="006B6331" w:rsidP="006B6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X1 Wind</w:t>
            </w:r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  <w:t>Videoconferencia</w:t>
            </w: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2832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2832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</w:tr>
      <w:tr w:rsidR="006B6331" w:rsidRPr="00BC4A85" w:rsidTr="00B711DA">
        <w:tc>
          <w:tcPr>
            <w:tcW w:w="2547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2832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3116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</w:tr>
      <w:tr w:rsidR="006B6331" w:rsidRPr="00966887" w:rsidTr="00B711DA">
        <w:tc>
          <w:tcPr>
            <w:tcW w:w="2547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2832" w:type="dxa"/>
            <w:vAlign w:val="center"/>
          </w:tcPr>
          <w:p w:rsidR="006B6331" w:rsidRPr="00BC4A85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  <w:tc>
          <w:tcPr>
            <w:tcW w:w="3116" w:type="dxa"/>
            <w:vAlign w:val="center"/>
          </w:tcPr>
          <w:p w:rsidR="006B6331" w:rsidRPr="00966887" w:rsidRDefault="006B6331" w:rsidP="006B633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val="es-ES" w:eastAsia="en-US"/>
              </w:rPr>
            </w:pPr>
          </w:p>
        </w:tc>
      </w:tr>
      <w:bookmarkEnd w:id="1"/>
    </w:tbl>
    <w:p w:rsidR="00F770B5" w:rsidRDefault="00F770B5" w:rsidP="00C44274">
      <w:pPr>
        <w:jc w:val="both"/>
      </w:pPr>
    </w:p>
    <w:sectPr w:rsidR="00F770B5" w:rsidSect="00B10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843" w:right="1694" w:bottom="1418" w:left="170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CE" w:rsidRDefault="00BE60CE" w:rsidP="003454E0">
      <w:r>
        <w:separator/>
      </w:r>
    </w:p>
  </w:endnote>
  <w:endnote w:type="continuationSeparator" w:id="0">
    <w:p w:rsidR="00BE60CE" w:rsidRDefault="00BE60CE" w:rsidP="003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CE" w:rsidRDefault="003B7E1F">
    <w:pPr>
      <w:pStyle w:val="Piedepgina"/>
    </w:pPr>
    <w:sdt>
      <w:sdtPr>
        <w:id w:val="793262918"/>
        <w:temporary/>
        <w:showingPlcHdr/>
      </w:sdtPr>
      <w:sdtEndPr/>
      <w:sdtContent>
        <w:r w:rsidR="00BE60CE">
          <w:rPr>
            <w:lang w:val="es-ES"/>
          </w:rPr>
          <w:t>[Escriba texto]</w:t>
        </w:r>
      </w:sdtContent>
    </w:sdt>
    <w:r w:rsidR="00BE60CE">
      <w:ptab w:relativeTo="margin" w:alignment="center" w:leader="none"/>
    </w:r>
    <w:sdt>
      <w:sdtPr>
        <w:id w:val="909588535"/>
        <w:temporary/>
        <w:showingPlcHdr/>
      </w:sdtPr>
      <w:sdtEndPr/>
      <w:sdtContent>
        <w:r w:rsidR="00BE60CE">
          <w:rPr>
            <w:lang w:val="es-ES"/>
          </w:rPr>
          <w:t>[Escriba texto]</w:t>
        </w:r>
      </w:sdtContent>
    </w:sdt>
    <w:r w:rsidR="00BE60CE">
      <w:ptab w:relativeTo="margin" w:alignment="right" w:leader="none"/>
    </w:r>
    <w:sdt>
      <w:sdtPr>
        <w:id w:val="-729622269"/>
        <w:temporary/>
        <w:showingPlcHdr/>
      </w:sdtPr>
      <w:sdtEndPr/>
      <w:sdtContent>
        <w:r w:rsidR="00BE60CE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CE" w:rsidRPr="00490BEC" w:rsidRDefault="003B7E1F" w:rsidP="008F4224">
    <w:pPr>
      <w:pStyle w:val="Piedepgina"/>
      <w:tabs>
        <w:tab w:val="left" w:pos="3467"/>
      </w:tabs>
      <w:rPr>
        <w:rFonts w:ascii="Calibri" w:hAnsi="Calibri"/>
        <w:color w:val="0071CE"/>
        <w:sz w:val="18"/>
        <w:szCs w:val="18"/>
      </w:rPr>
    </w:pPr>
    <w:r>
      <w:rPr>
        <w:rFonts w:ascii="Calibri" w:hAnsi="Calibri"/>
        <w:noProof/>
        <w:color w:val="0071CE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margin-left:351pt;margin-top:-1pt;width:135pt;height: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lTqgIAAKoFAAAOAAAAZHJzL2Uyb0RvYy54bWysVN9P2zAQfp+0/8Hye0lSpRQiUhSKOk1C&#10;gAYTz65j02iJz7PdJt3E/76zk5SO7YVpL8nZ99357rsfF5ddU5OdMLYCldPkJKZEKA5lpZ5z+vVx&#10;NTmjxDqmSlaDEjndC0svFx8/XLQ6E1PYQF0KQ9CJslmrc7pxTmdRZPlGNMyegBYKlRJMwxwezXNU&#10;Gtai96aOpnF8GrVgSm2AC2vx9rpX0kXwL6Xg7k5KKxypc4qxufA14bv232hxwbJnw/Sm4kMY7B+i&#10;aFil8NGDq2vmGNma6g9XTcUNWJDuhEMTgZQVFyEHzCaJ32TzsGFahFyQHKsPNNn/55bf7u4NqUqs&#10;HSWKNVii5ZaVBkgpiBOdA5J4klptM8Q+aES77go6bzDcW7z0uXfSNP6PWRHUI937A8XoiXBvNE/S&#10;WYwqjrrZPPEyuolerbWx7pOAhnghpwZLGJhluxvreugI8Y8pWFV1jfcsq9VvF+izvxGhD3prlmEk&#10;KHqkjynU6OdyNp8W89n55LSYJZM0ic8mRRFPJ9erIi7idLU8T69ehjhH+8hT0qceJLevRR/FFyGR&#10;0cCAvwi9LJa1ITuGXcg4F8oF8kKEiPYoiVm8x3DAhzxCfu8x7hkZXwblDsZNpcAEvt+EXX4bQ5Y9&#10;Hot2lLcXXbfuhpZYQ7nHTjHQD5zVfFVhOW+YdffM4IRhB+DWcHf4kTW0OYVBomQD5sff7j0eGx+1&#10;lLQ4sTm137fMCErqzwpH4jxJUz/i4ZBiRfFgjjXrY43aNkvAcmDbY3RB9HhXj6I00Dzhcin8q6hi&#10;iuPbOXWjuHT9HsHlxEVRBBAOtWbuRj1o7l376vhmfeyemNFDR/upuoVxtln2prF7rLdUUGwdyCp0&#10;vSe4Z3UgHhdCmJthefmNc3wOqNcVu/gFAAD//wMAUEsDBBQABgAIAAAAIQCdorrS3AAAAAkBAAAP&#10;AAAAZHJzL2Rvd25yZXYueG1sTI9PT8MwDMXvSHyHyEjctoQJWFfqTgjEFcT4I3HzGq+taJyqydby&#10;7UlPcLKt9/T8e8V2cp068RBaLwhXSwOKpfK2lRrh/e1pkYEKkcRS54URfjjAtjw/Kyi3fpRXPu1i&#10;rVKIhJwQmhj7XOtQNewoLH3PkrSDHxzFdA61tgONKdx1emXMrXbUSvrQUM8PDVffu6ND+Hg+fH1e&#10;m5f60d30o5+MFrfRiJcX0/0dqMhT/DPDjJ/QoUxMe38UG1SHsDar1CUiLOaZDJv1vOwRssyALgv9&#10;v0H5CwAA//8DAFBLAQItABQABgAIAAAAIQC2gziS/gAAAOEBAAATAAAAAAAAAAAAAAAAAAAAAABb&#10;Q29udGVudF9UeXBlc10ueG1sUEsBAi0AFAAGAAgAAAAhADj9If/WAAAAlAEAAAsAAAAAAAAAAAAA&#10;AAAALwEAAF9yZWxzLy5yZWxzUEsBAi0AFAAGAAgAAAAhAA9TaVOqAgAAqgUAAA4AAAAAAAAAAAAA&#10;AAAALgIAAGRycy9lMm9Eb2MueG1sUEsBAi0AFAAGAAgAAAAhAJ2iutLcAAAACQEAAA8AAAAAAAAA&#10;AAAAAAAABAUAAGRycy9kb3ducmV2LnhtbFBLBQYAAAAABAAEAPMAAAANBgAAAAA=&#10;" filled="f" stroked="f">
          <v:textbox>
            <w:txbxContent>
              <w:p w:rsidR="00BE60CE" w:rsidRPr="00490BEC" w:rsidRDefault="00BE60CE" w:rsidP="0064669B">
                <w:pPr>
                  <w:jc w:val="right"/>
                  <w:rPr>
                    <w:rFonts w:ascii="Calibri" w:hAnsi="Calibri"/>
                    <w:color w:val="0071CE"/>
                    <w:sz w:val="18"/>
                    <w:szCs w:val="18"/>
                  </w:rPr>
                </w:pPr>
                <w:r w:rsidRPr="00490BEC">
                  <w:rPr>
                    <w:rFonts w:ascii="Calibri" w:hAnsi="Calibri"/>
                    <w:color w:val="0071CE"/>
                    <w:sz w:val="18"/>
                    <w:szCs w:val="18"/>
                  </w:rPr>
                  <w:t>@aeeolica</w:t>
                </w:r>
              </w:p>
              <w:p w:rsidR="00BE60CE" w:rsidRPr="00490BEC" w:rsidRDefault="003B7E1F" w:rsidP="0064669B">
                <w:pPr>
                  <w:jc w:val="right"/>
                  <w:rPr>
                    <w:rFonts w:ascii="Calibri" w:hAnsi="Calibri"/>
                    <w:color w:val="0071CE"/>
                    <w:sz w:val="18"/>
                    <w:szCs w:val="18"/>
                  </w:rPr>
                </w:pPr>
                <w:hyperlink r:id="rId1" w:history="1">
                  <w:r w:rsidR="00BE60CE" w:rsidRPr="00490BEC">
                    <w:rPr>
                      <w:rStyle w:val="Hipervnculo"/>
                      <w:rFonts w:ascii="Calibri" w:hAnsi="Calibri"/>
                      <w:color w:val="0071CE"/>
                      <w:szCs w:val="18"/>
                    </w:rPr>
                    <w:t>aeeolica@aeeolica.org</w:t>
                  </w:r>
                </w:hyperlink>
              </w:p>
              <w:p w:rsidR="00BE60CE" w:rsidRPr="00490BEC" w:rsidRDefault="00BE60CE" w:rsidP="0064669B">
                <w:pPr>
                  <w:jc w:val="right"/>
                  <w:rPr>
                    <w:rFonts w:ascii="Calibri" w:hAnsi="Calibri"/>
                    <w:color w:val="0071CE"/>
                    <w:sz w:val="18"/>
                    <w:szCs w:val="18"/>
                  </w:rPr>
                </w:pPr>
                <w:r w:rsidRPr="00490BEC">
                  <w:rPr>
                    <w:rFonts w:ascii="Calibri" w:hAnsi="Calibri"/>
                    <w:color w:val="0071CE"/>
                    <w:sz w:val="18"/>
                    <w:szCs w:val="18"/>
                  </w:rPr>
                  <w:t>www.aeeolica.org</w:t>
                </w:r>
              </w:p>
              <w:p w:rsidR="00BE60CE" w:rsidRPr="00490BEC" w:rsidRDefault="00BE60CE" w:rsidP="0064669B">
                <w:pPr>
                  <w:jc w:val="right"/>
                  <w:rPr>
                    <w:rFonts w:ascii="Calibri" w:hAnsi="Calibri"/>
                    <w:color w:val="0071CE"/>
                    <w:sz w:val="18"/>
                    <w:szCs w:val="18"/>
                  </w:rPr>
                </w:pPr>
              </w:p>
              <w:p w:rsidR="00BE60CE" w:rsidRDefault="00BE60CE"/>
            </w:txbxContent>
          </v:textbox>
          <w10:wrap anchorx="margin"/>
        </v:shape>
      </w:pict>
    </w:r>
    <w:r w:rsidR="00BE60CE" w:rsidRPr="00490BEC">
      <w:rPr>
        <w:rFonts w:ascii="Calibri" w:hAnsi="Calibri"/>
        <w:color w:val="0071CE"/>
        <w:sz w:val="18"/>
        <w:szCs w:val="18"/>
      </w:rPr>
      <w:t>C/ Sor Ángela de la Cruz, 2. Planta 14 D</w:t>
    </w:r>
  </w:p>
  <w:p w:rsidR="00BE60CE" w:rsidRPr="00490BEC" w:rsidRDefault="00BE60CE">
    <w:pPr>
      <w:pStyle w:val="Piedepgina"/>
      <w:rPr>
        <w:rFonts w:ascii="Calibri" w:hAnsi="Calibri"/>
        <w:color w:val="0071CE"/>
        <w:sz w:val="18"/>
        <w:szCs w:val="18"/>
      </w:rPr>
    </w:pPr>
    <w:r w:rsidRPr="00490BEC">
      <w:rPr>
        <w:rFonts w:ascii="Calibri" w:hAnsi="Calibri"/>
        <w:color w:val="0071CE"/>
        <w:sz w:val="18"/>
        <w:szCs w:val="18"/>
      </w:rPr>
      <w:t>28020, Madrid</w:t>
    </w:r>
  </w:p>
  <w:p w:rsidR="00BE60CE" w:rsidRPr="00490BEC" w:rsidRDefault="00BE60CE">
    <w:pPr>
      <w:pStyle w:val="Piedepgina"/>
      <w:rPr>
        <w:rFonts w:ascii="Calibri" w:hAnsi="Calibri"/>
        <w:color w:val="0071CE"/>
        <w:sz w:val="18"/>
        <w:szCs w:val="18"/>
      </w:rPr>
    </w:pPr>
    <w:r w:rsidRPr="00490BEC">
      <w:rPr>
        <w:rFonts w:ascii="Calibri" w:hAnsi="Calibri"/>
        <w:color w:val="0071CE"/>
        <w:sz w:val="18"/>
        <w:szCs w:val="18"/>
      </w:rPr>
      <w:t>Tel. +34 917 451 276</w:t>
    </w:r>
  </w:p>
  <w:p w:rsidR="00BE60CE" w:rsidRPr="00490BEC" w:rsidRDefault="00BE60CE">
    <w:pPr>
      <w:pStyle w:val="Piedepgina"/>
      <w:rPr>
        <w:rFonts w:ascii="Calibri" w:hAnsi="Calibri"/>
        <w:color w:val="0071CE"/>
        <w:sz w:val="18"/>
        <w:szCs w:val="18"/>
      </w:rPr>
    </w:pPr>
    <w:r w:rsidRPr="00490BEC">
      <w:rPr>
        <w:rFonts w:ascii="Calibri" w:hAnsi="Calibri"/>
        <w:color w:val="0071CE"/>
        <w:sz w:val="18"/>
        <w:szCs w:val="18"/>
      </w:rPr>
      <w:t>Fax +34 914 575 931</w:t>
    </w:r>
    <w:r w:rsidRPr="00490BEC">
      <w:rPr>
        <w:rFonts w:ascii="Calibri" w:hAnsi="Calibri"/>
        <w:color w:val="0071CE"/>
        <w:sz w:val="18"/>
        <w:szCs w:val="1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CE" w:rsidRDefault="00BE60CE" w:rsidP="003454E0">
      <w:r>
        <w:separator/>
      </w:r>
    </w:p>
  </w:footnote>
  <w:footnote w:type="continuationSeparator" w:id="0">
    <w:p w:rsidR="00BE60CE" w:rsidRDefault="00BE60CE" w:rsidP="0034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CE" w:rsidRDefault="003B7E1F">
    <w:pPr>
      <w:pStyle w:val="Encabezado"/>
    </w:pPr>
    <w:sdt>
      <w:sdtPr>
        <w:id w:val="1054511098"/>
        <w:placeholder>
          <w:docPart w:val="EE8477627B066448802841642DCA7744"/>
        </w:placeholder>
        <w:temporary/>
        <w:showingPlcHdr/>
      </w:sdtPr>
      <w:sdtEndPr/>
      <w:sdtContent>
        <w:r w:rsidR="00BE60CE">
          <w:rPr>
            <w:lang w:val="es-ES"/>
          </w:rPr>
          <w:t>[Escriba texto]</w:t>
        </w:r>
      </w:sdtContent>
    </w:sdt>
    <w:r w:rsidR="00BE60CE">
      <w:ptab w:relativeTo="margin" w:alignment="center" w:leader="none"/>
    </w:r>
    <w:sdt>
      <w:sdtPr>
        <w:id w:val="-986699319"/>
        <w:placeholder>
          <w:docPart w:val="33EF57C90BB4DF4A9B0601D9F6478223"/>
        </w:placeholder>
        <w:temporary/>
        <w:showingPlcHdr/>
      </w:sdtPr>
      <w:sdtEndPr/>
      <w:sdtContent>
        <w:r w:rsidR="00BE60CE">
          <w:rPr>
            <w:lang w:val="es-ES"/>
          </w:rPr>
          <w:t>[Escriba texto]</w:t>
        </w:r>
      </w:sdtContent>
    </w:sdt>
    <w:r w:rsidR="00BE60CE">
      <w:ptab w:relativeTo="margin" w:alignment="right" w:leader="none"/>
    </w:r>
    <w:sdt>
      <w:sdtPr>
        <w:id w:val="1306428815"/>
        <w:temporary/>
        <w:showingPlcHdr/>
      </w:sdtPr>
      <w:sdtEndPr/>
      <w:sdtContent>
        <w:r w:rsidR="00BE60CE">
          <w:rPr>
            <w:lang w:val="es-ES"/>
          </w:rPr>
          <w:t>[Escriba texto]</w:t>
        </w:r>
      </w:sdtContent>
    </w:sdt>
  </w:p>
  <w:p w:rsidR="00BE60CE" w:rsidRDefault="00BE6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CE" w:rsidRDefault="00BE60CE" w:rsidP="00FF61B8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1232902" cy="61645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902" cy="61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CE" w:rsidRDefault="00BE60CE" w:rsidP="005150C6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1232902" cy="616452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902" cy="61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3.25pt;height:154.35pt" o:bullet="t">
        <v:imagedata r:id="rId1" o:title="simbolo"/>
      </v:shape>
    </w:pict>
  </w:numPicBullet>
  <w:numPicBullet w:numPicBulletId="1">
    <w:pict>
      <v:shape id="_x0000_i1047" type="#_x0000_t75" style="width:124.35pt;height:136.35pt" o:bullet="t">
        <v:imagedata r:id="rId2" o:title="simbolo"/>
      </v:shape>
    </w:pict>
  </w:numPicBullet>
  <w:abstractNum w:abstractNumId="0" w15:restartNumberingAfterBreak="0">
    <w:nsid w:val="017041AD"/>
    <w:multiLevelType w:val="hybridMultilevel"/>
    <w:tmpl w:val="BB0AFE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5BA"/>
    <w:multiLevelType w:val="hybridMultilevel"/>
    <w:tmpl w:val="D26E79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BA4"/>
    <w:multiLevelType w:val="multilevel"/>
    <w:tmpl w:val="0C0A001D"/>
    <w:numStyleLink w:val="Estilo2"/>
  </w:abstractNum>
  <w:abstractNum w:abstractNumId="3" w15:restartNumberingAfterBreak="0">
    <w:nsid w:val="12B72143"/>
    <w:multiLevelType w:val="hybridMultilevel"/>
    <w:tmpl w:val="72000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5001"/>
    <w:multiLevelType w:val="multilevel"/>
    <w:tmpl w:val="9EBA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862B9"/>
    <w:multiLevelType w:val="hybridMultilevel"/>
    <w:tmpl w:val="48C6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1949"/>
    <w:multiLevelType w:val="hybridMultilevel"/>
    <w:tmpl w:val="4CDE443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2A03"/>
    <w:multiLevelType w:val="hybridMultilevel"/>
    <w:tmpl w:val="2CDC3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94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44275E"/>
    <w:multiLevelType w:val="hybridMultilevel"/>
    <w:tmpl w:val="0B028B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5DDB"/>
    <w:multiLevelType w:val="multilevel"/>
    <w:tmpl w:val="9EBA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D2E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3C592F"/>
    <w:multiLevelType w:val="hybridMultilevel"/>
    <w:tmpl w:val="7618D9B6"/>
    <w:lvl w:ilvl="0" w:tplc="DA940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47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67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0C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888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4A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E1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A64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D80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F6E5DA6"/>
    <w:multiLevelType w:val="hybridMultilevel"/>
    <w:tmpl w:val="FB0C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66DC"/>
    <w:multiLevelType w:val="hybridMultilevel"/>
    <w:tmpl w:val="31201E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B4C6D"/>
    <w:multiLevelType w:val="hybridMultilevel"/>
    <w:tmpl w:val="48FA1144"/>
    <w:lvl w:ilvl="0" w:tplc="97C26392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F4CAE"/>
    <w:multiLevelType w:val="hybridMultilevel"/>
    <w:tmpl w:val="E9E22FAA"/>
    <w:lvl w:ilvl="0" w:tplc="94423FFE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C4E23"/>
    <w:multiLevelType w:val="hybridMultilevel"/>
    <w:tmpl w:val="2CDC3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3198C"/>
    <w:multiLevelType w:val="hybridMultilevel"/>
    <w:tmpl w:val="62721012"/>
    <w:lvl w:ilvl="0" w:tplc="94423FFE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2244"/>
    <w:multiLevelType w:val="hybridMultilevel"/>
    <w:tmpl w:val="62523C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212D"/>
    <w:multiLevelType w:val="hybridMultilevel"/>
    <w:tmpl w:val="2C8075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1139C"/>
    <w:multiLevelType w:val="hybridMultilevel"/>
    <w:tmpl w:val="FEFEF5F2"/>
    <w:lvl w:ilvl="0" w:tplc="7508198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06ED6"/>
    <w:multiLevelType w:val="hybridMultilevel"/>
    <w:tmpl w:val="9EBABBF6"/>
    <w:lvl w:ilvl="0" w:tplc="BD5C2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00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C9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03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65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68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6CF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E3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26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6316"/>
    <w:multiLevelType w:val="multilevel"/>
    <w:tmpl w:val="0C0A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641975"/>
    <w:multiLevelType w:val="multilevel"/>
    <w:tmpl w:val="9EBA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05AE7"/>
    <w:multiLevelType w:val="multilevel"/>
    <w:tmpl w:val="D7B24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2F21A4"/>
    <w:multiLevelType w:val="hybridMultilevel"/>
    <w:tmpl w:val="F72E390A"/>
    <w:lvl w:ilvl="0" w:tplc="D0C012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337CB"/>
    <w:multiLevelType w:val="multilevel"/>
    <w:tmpl w:val="14FC6F72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66518DD"/>
    <w:multiLevelType w:val="hybridMultilevel"/>
    <w:tmpl w:val="3A4CCFE2"/>
    <w:lvl w:ilvl="0" w:tplc="79FE8E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02FC6"/>
    <w:multiLevelType w:val="hybridMultilevel"/>
    <w:tmpl w:val="E0501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C54CF"/>
    <w:multiLevelType w:val="hybridMultilevel"/>
    <w:tmpl w:val="52A0227E"/>
    <w:lvl w:ilvl="0" w:tplc="B8AC3E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A7644F"/>
    <w:multiLevelType w:val="hybridMultilevel"/>
    <w:tmpl w:val="2CDC3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76AAC"/>
    <w:multiLevelType w:val="hybridMultilevel"/>
    <w:tmpl w:val="2CDC3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2547"/>
    <w:multiLevelType w:val="hybridMultilevel"/>
    <w:tmpl w:val="62523C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84CF1"/>
    <w:multiLevelType w:val="multilevel"/>
    <w:tmpl w:val="9EBA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C5CC3"/>
    <w:multiLevelType w:val="multilevel"/>
    <w:tmpl w:val="0C0A001D"/>
    <w:numStyleLink w:val="Estilo2"/>
  </w:abstractNum>
  <w:abstractNum w:abstractNumId="36" w15:restartNumberingAfterBreak="0">
    <w:nsid w:val="72CC5486"/>
    <w:multiLevelType w:val="hybridMultilevel"/>
    <w:tmpl w:val="BFF84680"/>
    <w:lvl w:ilvl="0" w:tplc="279CF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C85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2D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C5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4B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0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84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AC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2D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9E008D"/>
    <w:multiLevelType w:val="multilevel"/>
    <w:tmpl w:val="9EBA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66B88"/>
    <w:multiLevelType w:val="hybridMultilevel"/>
    <w:tmpl w:val="218C7DDE"/>
    <w:lvl w:ilvl="0" w:tplc="79FE8E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5F2B78"/>
    <w:multiLevelType w:val="hybridMultilevel"/>
    <w:tmpl w:val="C0A875E0"/>
    <w:lvl w:ilvl="0" w:tplc="79FE8E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60C91"/>
    <w:multiLevelType w:val="hybridMultilevel"/>
    <w:tmpl w:val="B3F08F68"/>
    <w:lvl w:ilvl="0" w:tplc="272AD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93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20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4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CEB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C9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E0B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CC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5CB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CEC4177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F1106D1"/>
    <w:multiLevelType w:val="hybridMultilevel"/>
    <w:tmpl w:val="DACA1690"/>
    <w:lvl w:ilvl="0" w:tplc="DEB8F2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64AE4"/>
    <w:multiLevelType w:val="hybridMultilevel"/>
    <w:tmpl w:val="A858E19E"/>
    <w:lvl w:ilvl="0" w:tplc="3A3A3C9C">
      <w:start w:val="1"/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1"/>
  </w:num>
  <w:num w:numId="5">
    <w:abstractNumId w:val="35"/>
  </w:num>
  <w:num w:numId="6">
    <w:abstractNumId w:val="28"/>
  </w:num>
  <w:num w:numId="7">
    <w:abstractNumId w:val="26"/>
  </w:num>
  <w:num w:numId="8">
    <w:abstractNumId w:val="39"/>
  </w:num>
  <w:num w:numId="9">
    <w:abstractNumId w:val="38"/>
  </w:num>
  <w:num w:numId="10">
    <w:abstractNumId w:val="21"/>
  </w:num>
  <w:num w:numId="11">
    <w:abstractNumId w:val="27"/>
  </w:num>
  <w:num w:numId="12">
    <w:abstractNumId w:val="23"/>
  </w:num>
  <w:num w:numId="13">
    <w:abstractNumId w:val="2"/>
  </w:num>
  <w:num w:numId="14">
    <w:abstractNumId w:val="33"/>
  </w:num>
  <w:num w:numId="15">
    <w:abstractNumId w:val="9"/>
  </w:num>
  <w:num w:numId="16">
    <w:abstractNumId w:val="3"/>
  </w:num>
  <w:num w:numId="17">
    <w:abstractNumId w:val="19"/>
  </w:num>
  <w:num w:numId="18">
    <w:abstractNumId w:val="13"/>
  </w:num>
  <w:num w:numId="19">
    <w:abstractNumId w:val="1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7"/>
  </w:num>
  <w:num w:numId="23">
    <w:abstractNumId w:val="22"/>
  </w:num>
  <w:num w:numId="24">
    <w:abstractNumId w:val="4"/>
  </w:num>
  <w:num w:numId="25">
    <w:abstractNumId w:val="34"/>
  </w:num>
  <w:num w:numId="26">
    <w:abstractNumId w:val="6"/>
  </w:num>
  <w:num w:numId="27">
    <w:abstractNumId w:val="12"/>
  </w:num>
  <w:num w:numId="28">
    <w:abstractNumId w:val="40"/>
  </w:num>
  <w:num w:numId="29">
    <w:abstractNumId w:val="36"/>
  </w:num>
  <w:num w:numId="30">
    <w:abstractNumId w:val="32"/>
  </w:num>
  <w:num w:numId="31">
    <w:abstractNumId w:val="43"/>
  </w:num>
  <w:num w:numId="32">
    <w:abstractNumId w:val="30"/>
  </w:num>
  <w:num w:numId="33">
    <w:abstractNumId w:val="42"/>
  </w:num>
  <w:num w:numId="34">
    <w:abstractNumId w:val="0"/>
  </w:num>
  <w:num w:numId="35">
    <w:abstractNumId w:val="15"/>
  </w:num>
  <w:num w:numId="36">
    <w:abstractNumId w:val="25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8"/>
  </w:num>
  <w:num w:numId="41">
    <w:abstractNumId w:val="16"/>
  </w:num>
  <w:num w:numId="42">
    <w:abstractNumId w:val="5"/>
  </w:num>
  <w:num w:numId="43">
    <w:abstractNumId w:val="1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4E0"/>
    <w:rsid w:val="00000594"/>
    <w:rsid w:val="00012C7D"/>
    <w:rsid w:val="00015FB6"/>
    <w:rsid w:val="00017E15"/>
    <w:rsid w:val="00024817"/>
    <w:rsid w:val="00054C6A"/>
    <w:rsid w:val="00065FEA"/>
    <w:rsid w:val="0007290C"/>
    <w:rsid w:val="00092ED9"/>
    <w:rsid w:val="000B5D9F"/>
    <w:rsid w:val="000B70F1"/>
    <w:rsid w:val="000C6CC1"/>
    <w:rsid w:val="000D4B10"/>
    <w:rsid w:val="000D54AB"/>
    <w:rsid w:val="000D5E38"/>
    <w:rsid w:val="000E4F73"/>
    <w:rsid w:val="000F0B76"/>
    <w:rsid w:val="000F64E6"/>
    <w:rsid w:val="00102FDE"/>
    <w:rsid w:val="001348EB"/>
    <w:rsid w:val="00135D94"/>
    <w:rsid w:val="00140A78"/>
    <w:rsid w:val="00145B0A"/>
    <w:rsid w:val="00147F84"/>
    <w:rsid w:val="001724C4"/>
    <w:rsid w:val="0017322D"/>
    <w:rsid w:val="00174C74"/>
    <w:rsid w:val="001A1812"/>
    <w:rsid w:val="001A42E9"/>
    <w:rsid w:val="001A5CA9"/>
    <w:rsid w:val="001A68E3"/>
    <w:rsid w:val="001B5429"/>
    <w:rsid w:val="001F7368"/>
    <w:rsid w:val="00202941"/>
    <w:rsid w:val="002044F8"/>
    <w:rsid w:val="00206491"/>
    <w:rsid w:val="00251A4C"/>
    <w:rsid w:val="00262C0B"/>
    <w:rsid w:val="002649B4"/>
    <w:rsid w:val="00272942"/>
    <w:rsid w:val="00296762"/>
    <w:rsid w:val="002A56B4"/>
    <w:rsid w:val="002B124F"/>
    <w:rsid w:val="002B43EB"/>
    <w:rsid w:val="002E6DFB"/>
    <w:rsid w:val="0030630D"/>
    <w:rsid w:val="00320D61"/>
    <w:rsid w:val="00323905"/>
    <w:rsid w:val="00343086"/>
    <w:rsid w:val="00345355"/>
    <w:rsid w:val="003454E0"/>
    <w:rsid w:val="003541FF"/>
    <w:rsid w:val="00362F16"/>
    <w:rsid w:val="00370639"/>
    <w:rsid w:val="00386DE1"/>
    <w:rsid w:val="00395DC9"/>
    <w:rsid w:val="003B7E1F"/>
    <w:rsid w:val="003D3149"/>
    <w:rsid w:val="003D6C89"/>
    <w:rsid w:val="00405CCE"/>
    <w:rsid w:val="004103AD"/>
    <w:rsid w:val="00410E21"/>
    <w:rsid w:val="0041512B"/>
    <w:rsid w:val="004155D5"/>
    <w:rsid w:val="00430E49"/>
    <w:rsid w:val="00446CCA"/>
    <w:rsid w:val="00462670"/>
    <w:rsid w:val="004748E7"/>
    <w:rsid w:val="00477214"/>
    <w:rsid w:val="00477AD4"/>
    <w:rsid w:val="00484EE6"/>
    <w:rsid w:val="00490BEC"/>
    <w:rsid w:val="004A3741"/>
    <w:rsid w:val="004B0763"/>
    <w:rsid w:val="004C5234"/>
    <w:rsid w:val="005103D0"/>
    <w:rsid w:val="00511D8C"/>
    <w:rsid w:val="00512351"/>
    <w:rsid w:val="005150C6"/>
    <w:rsid w:val="005176C9"/>
    <w:rsid w:val="00523D22"/>
    <w:rsid w:val="005324D3"/>
    <w:rsid w:val="0054779E"/>
    <w:rsid w:val="00551829"/>
    <w:rsid w:val="00586816"/>
    <w:rsid w:val="005931F0"/>
    <w:rsid w:val="00594E37"/>
    <w:rsid w:val="005B0D67"/>
    <w:rsid w:val="005B0F3C"/>
    <w:rsid w:val="005E0184"/>
    <w:rsid w:val="005E0CF3"/>
    <w:rsid w:val="005E7AC4"/>
    <w:rsid w:val="005F05A6"/>
    <w:rsid w:val="00622150"/>
    <w:rsid w:val="0062262F"/>
    <w:rsid w:val="00642EF5"/>
    <w:rsid w:val="00644E56"/>
    <w:rsid w:val="0064669B"/>
    <w:rsid w:val="006572B3"/>
    <w:rsid w:val="00670719"/>
    <w:rsid w:val="006A7330"/>
    <w:rsid w:val="006B6331"/>
    <w:rsid w:val="006C2FD3"/>
    <w:rsid w:val="006C61FF"/>
    <w:rsid w:val="006C66A9"/>
    <w:rsid w:val="006F666F"/>
    <w:rsid w:val="00705F38"/>
    <w:rsid w:val="0072157F"/>
    <w:rsid w:val="00721734"/>
    <w:rsid w:val="00733EBB"/>
    <w:rsid w:val="00734EE7"/>
    <w:rsid w:val="00762EE8"/>
    <w:rsid w:val="0078463E"/>
    <w:rsid w:val="00786E74"/>
    <w:rsid w:val="0079493F"/>
    <w:rsid w:val="007A3A1F"/>
    <w:rsid w:val="007A62FD"/>
    <w:rsid w:val="007B52A5"/>
    <w:rsid w:val="007C2FF8"/>
    <w:rsid w:val="007C63ED"/>
    <w:rsid w:val="007E114A"/>
    <w:rsid w:val="007F3CC5"/>
    <w:rsid w:val="007F53DC"/>
    <w:rsid w:val="00832E21"/>
    <w:rsid w:val="0084047F"/>
    <w:rsid w:val="0085747C"/>
    <w:rsid w:val="00870E23"/>
    <w:rsid w:val="008955B1"/>
    <w:rsid w:val="008A7A20"/>
    <w:rsid w:val="008B0003"/>
    <w:rsid w:val="008F4224"/>
    <w:rsid w:val="009002C0"/>
    <w:rsid w:val="009017A1"/>
    <w:rsid w:val="009055F0"/>
    <w:rsid w:val="00922C11"/>
    <w:rsid w:val="00924B51"/>
    <w:rsid w:val="00932F6E"/>
    <w:rsid w:val="00936F6A"/>
    <w:rsid w:val="00954C3B"/>
    <w:rsid w:val="009704FA"/>
    <w:rsid w:val="0097212D"/>
    <w:rsid w:val="009733A3"/>
    <w:rsid w:val="009858CE"/>
    <w:rsid w:val="00993A1F"/>
    <w:rsid w:val="009A0E6F"/>
    <w:rsid w:val="009A22C3"/>
    <w:rsid w:val="009A70BE"/>
    <w:rsid w:val="009B7A17"/>
    <w:rsid w:val="009C0891"/>
    <w:rsid w:val="009D3B2B"/>
    <w:rsid w:val="009F68CC"/>
    <w:rsid w:val="00A15B79"/>
    <w:rsid w:val="00A2124C"/>
    <w:rsid w:val="00A22B88"/>
    <w:rsid w:val="00A33157"/>
    <w:rsid w:val="00A44415"/>
    <w:rsid w:val="00A5172A"/>
    <w:rsid w:val="00A557EF"/>
    <w:rsid w:val="00A61A32"/>
    <w:rsid w:val="00AA6D96"/>
    <w:rsid w:val="00AB2AFD"/>
    <w:rsid w:val="00AC00AC"/>
    <w:rsid w:val="00AC087F"/>
    <w:rsid w:val="00AC7B6E"/>
    <w:rsid w:val="00AE54FB"/>
    <w:rsid w:val="00B10A9C"/>
    <w:rsid w:val="00B11FA9"/>
    <w:rsid w:val="00B25499"/>
    <w:rsid w:val="00B37E25"/>
    <w:rsid w:val="00B43C75"/>
    <w:rsid w:val="00B44278"/>
    <w:rsid w:val="00B52011"/>
    <w:rsid w:val="00B530D9"/>
    <w:rsid w:val="00B711DA"/>
    <w:rsid w:val="00B83DBB"/>
    <w:rsid w:val="00BA0EBD"/>
    <w:rsid w:val="00BC4A85"/>
    <w:rsid w:val="00BE60CE"/>
    <w:rsid w:val="00BF1D1C"/>
    <w:rsid w:val="00C02158"/>
    <w:rsid w:val="00C116B1"/>
    <w:rsid w:val="00C368E2"/>
    <w:rsid w:val="00C44274"/>
    <w:rsid w:val="00C4735B"/>
    <w:rsid w:val="00C57168"/>
    <w:rsid w:val="00C77D74"/>
    <w:rsid w:val="00C9428D"/>
    <w:rsid w:val="00CA74F8"/>
    <w:rsid w:val="00CC0D1C"/>
    <w:rsid w:val="00CD0CF5"/>
    <w:rsid w:val="00CD2DB7"/>
    <w:rsid w:val="00D00187"/>
    <w:rsid w:val="00D2718A"/>
    <w:rsid w:val="00D4381B"/>
    <w:rsid w:val="00D44B04"/>
    <w:rsid w:val="00D64B59"/>
    <w:rsid w:val="00D71869"/>
    <w:rsid w:val="00D763BC"/>
    <w:rsid w:val="00D878A2"/>
    <w:rsid w:val="00D91588"/>
    <w:rsid w:val="00DC31F9"/>
    <w:rsid w:val="00DC7A6B"/>
    <w:rsid w:val="00DD4AA4"/>
    <w:rsid w:val="00DE16C4"/>
    <w:rsid w:val="00E02A1A"/>
    <w:rsid w:val="00E03469"/>
    <w:rsid w:val="00E03F18"/>
    <w:rsid w:val="00E12489"/>
    <w:rsid w:val="00E25A8D"/>
    <w:rsid w:val="00E40EC5"/>
    <w:rsid w:val="00E436EC"/>
    <w:rsid w:val="00E5144D"/>
    <w:rsid w:val="00E7587E"/>
    <w:rsid w:val="00E938B7"/>
    <w:rsid w:val="00EB1CC7"/>
    <w:rsid w:val="00EB69E5"/>
    <w:rsid w:val="00EC6EA3"/>
    <w:rsid w:val="00ED0CF7"/>
    <w:rsid w:val="00F034A6"/>
    <w:rsid w:val="00F13AC6"/>
    <w:rsid w:val="00F1577F"/>
    <w:rsid w:val="00F36921"/>
    <w:rsid w:val="00F41031"/>
    <w:rsid w:val="00F655D0"/>
    <w:rsid w:val="00F77050"/>
    <w:rsid w:val="00F770B5"/>
    <w:rsid w:val="00F8009F"/>
    <w:rsid w:val="00F83025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1787139"/>
  <w15:docId w15:val="{C129D6B5-EEF5-48CB-A9E6-9914024A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D0"/>
  </w:style>
  <w:style w:type="paragraph" w:styleId="Ttulo1">
    <w:name w:val="heading 1"/>
    <w:basedOn w:val="Normal"/>
    <w:next w:val="Normal"/>
    <w:link w:val="Ttulo1Car"/>
    <w:uiPriority w:val="9"/>
    <w:qFormat/>
    <w:rsid w:val="009D3B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4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4E0"/>
  </w:style>
  <w:style w:type="paragraph" w:styleId="Piedepgina">
    <w:name w:val="footer"/>
    <w:basedOn w:val="Normal"/>
    <w:link w:val="PiedepginaCar"/>
    <w:uiPriority w:val="99"/>
    <w:unhideWhenUsed/>
    <w:rsid w:val="003454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4E0"/>
  </w:style>
  <w:style w:type="paragraph" w:styleId="Sinespaciado">
    <w:name w:val="No Spacing"/>
    <w:link w:val="SinespaciadoCar"/>
    <w:qFormat/>
    <w:rsid w:val="003454E0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3454E0"/>
    <w:rPr>
      <w:rFonts w:ascii="PMingLiU" w:hAnsi="PMingLiU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4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E0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2124C"/>
    <w:rPr>
      <w:rFonts w:asciiTheme="majorHAnsi" w:hAnsiTheme="majorHAnsi"/>
      <w:color w:val="005DBA"/>
      <w:sz w:val="18"/>
      <w:u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463E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D3B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D3B2B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9D3B2B"/>
    <w:pPr>
      <w:spacing w:before="120"/>
    </w:pPr>
    <w:rPr>
      <w:rFonts w:ascii="Calibri" w:hAnsi="Calibri"/>
      <w:b/>
      <w:color w:val="4386C6"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9D3B2B"/>
    <w:rPr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9D3B2B"/>
    <w:pPr>
      <w:ind w:left="240"/>
    </w:pPr>
    <w:rPr>
      <w:i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9D3B2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9D3B2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9D3B2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9D3B2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9D3B2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D3B2B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Prrafodelista">
    <w:name w:val="List Paragraph"/>
    <w:aliases w:val="Liste à puces retrait droite,Título3"/>
    <w:basedOn w:val="Normal"/>
    <w:link w:val="PrrafodelistaCar"/>
    <w:uiPriority w:val="99"/>
    <w:qFormat/>
    <w:rsid w:val="009D3B2B"/>
    <w:pPr>
      <w:ind w:left="720"/>
      <w:contextualSpacing/>
    </w:pPr>
  </w:style>
  <w:style w:type="numbering" w:customStyle="1" w:styleId="Estilo1">
    <w:name w:val="Estilo1"/>
    <w:uiPriority w:val="99"/>
    <w:rsid w:val="009A70BE"/>
    <w:pPr>
      <w:numPr>
        <w:numId w:val="11"/>
      </w:numPr>
    </w:pPr>
  </w:style>
  <w:style w:type="numbering" w:customStyle="1" w:styleId="Estilo2">
    <w:name w:val="Estilo2"/>
    <w:uiPriority w:val="99"/>
    <w:rsid w:val="009A70BE"/>
    <w:pPr>
      <w:numPr>
        <w:numId w:val="12"/>
      </w:numPr>
    </w:pPr>
  </w:style>
  <w:style w:type="table" w:styleId="Tablaconcuadrcula">
    <w:name w:val="Table Grid"/>
    <w:basedOn w:val="Tablanormal"/>
    <w:uiPriority w:val="59"/>
    <w:rsid w:val="009A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9A70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1">
    <w:name w:val="Medium Shading 1"/>
    <w:basedOn w:val="Tablanormal"/>
    <w:uiPriority w:val="63"/>
    <w:rsid w:val="009A70B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rsid w:val="009A70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clara">
    <w:name w:val="Light Grid"/>
    <w:basedOn w:val="Tablanormal"/>
    <w:uiPriority w:val="62"/>
    <w:rsid w:val="009A70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3">
    <w:name w:val="Medium Grid 3"/>
    <w:basedOn w:val="Tablanormal"/>
    <w:uiPriority w:val="69"/>
    <w:rsid w:val="009A70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2">
    <w:name w:val="Medium Shading 2"/>
    <w:basedOn w:val="Tablanormal"/>
    <w:uiPriority w:val="64"/>
    <w:rsid w:val="003D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D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D6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46CC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F666F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E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rrafodelistaCar">
    <w:name w:val="Párrafo de lista Car"/>
    <w:aliases w:val="Liste à puces retrait droite Car,Título3 Car"/>
    <w:basedOn w:val="Fuentedeprrafopredeter"/>
    <w:link w:val="Prrafodelista"/>
    <w:uiPriority w:val="99"/>
    <w:locked/>
    <w:rsid w:val="002B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512">
          <w:marLeft w:val="187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9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02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7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8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00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2774">
          <w:marLeft w:val="187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4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0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1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66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3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eeolica@aeeolic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8477627B066448802841642DCA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594B-9B1C-B54A-9196-CFF94C15219C}"/>
      </w:docPartPr>
      <w:docPartBody>
        <w:p w:rsidR="00565CEA" w:rsidRDefault="00565CEA" w:rsidP="00565CEA">
          <w:pPr>
            <w:pStyle w:val="EE8477627B066448802841642DCA7744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3EF57C90BB4DF4A9B0601D9F647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73D6-7763-8C40-8A2D-300E323C8285}"/>
      </w:docPartPr>
      <w:docPartBody>
        <w:p w:rsidR="00565CEA" w:rsidRDefault="00565CEA" w:rsidP="00565CEA">
          <w:pPr>
            <w:pStyle w:val="33EF57C90BB4DF4A9B0601D9F6478223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CEA"/>
    <w:rsid w:val="00225285"/>
    <w:rsid w:val="002D7561"/>
    <w:rsid w:val="003C5C9F"/>
    <w:rsid w:val="004E6462"/>
    <w:rsid w:val="00565CEA"/>
    <w:rsid w:val="006415DF"/>
    <w:rsid w:val="008840A2"/>
    <w:rsid w:val="00923D5A"/>
    <w:rsid w:val="009A60B4"/>
    <w:rsid w:val="00AD03B0"/>
    <w:rsid w:val="00B67380"/>
    <w:rsid w:val="00D658AD"/>
    <w:rsid w:val="00FA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B72D6E349029E4CA5C96455FD1D177D">
    <w:name w:val="DB72D6E349029E4CA5C96455FD1D177D"/>
    <w:rsid w:val="00565CEA"/>
  </w:style>
  <w:style w:type="paragraph" w:customStyle="1" w:styleId="FF44DFA22F16E84C804A1E42496AE4EB">
    <w:name w:val="FF44DFA22F16E84C804A1E42496AE4EB"/>
    <w:rsid w:val="00565CEA"/>
  </w:style>
  <w:style w:type="paragraph" w:customStyle="1" w:styleId="88BC2809854D7A4A9154AE21A632A0C7">
    <w:name w:val="88BC2809854D7A4A9154AE21A632A0C7"/>
    <w:rsid w:val="00565CEA"/>
  </w:style>
  <w:style w:type="paragraph" w:customStyle="1" w:styleId="EE8477627B066448802841642DCA7744">
    <w:name w:val="EE8477627B066448802841642DCA7744"/>
    <w:rsid w:val="00565CEA"/>
  </w:style>
  <w:style w:type="paragraph" w:customStyle="1" w:styleId="33EF57C90BB4DF4A9B0601D9F6478223">
    <w:name w:val="33EF57C90BB4DF4A9B0601D9F6478223"/>
    <w:rsid w:val="00565CEA"/>
  </w:style>
  <w:style w:type="paragraph" w:customStyle="1" w:styleId="70A2CE73B5782846A06FC872AEA8C30E">
    <w:name w:val="70A2CE73B5782846A06FC872AEA8C30E"/>
    <w:rsid w:val="00565CEA"/>
  </w:style>
  <w:style w:type="paragraph" w:customStyle="1" w:styleId="A9278E489347EB4EA4F906891AFE63EF">
    <w:name w:val="A9278E489347EB4EA4F906891AFE63EF"/>
    <w:rsid w:val="00565CEA"/>
  </w:style>
  <w:style w:type="paragraph" w:customStyle="1" w:styleId="6901652FE7593243A90BD3AE926FE31E">
    <w:name w:val="6901652FE7593243A90BD3AE926FE31E"/>
    <w:rsid w:val="00565CEA"/>
  </w:style>
  <w:style w:type="paragraph" w:customStyle="1" w:styleId="4F8F27759894AC4FBFE903DB0CF88DEE">
    <w:name w:val="4F8F27759894AC4FBFE903DB0CF88DEE"/>
    <w:rsid w:val="00565CEA"/>
  </w:style>
  <w:style w:type="paragraph" w:customStyle="1" w:styleId="5F92C0108E15FA4FA5BEE4345D432964">
    <w:name w:val="5F92C0108E15FA4FA5BEE4345D432964"/>
    <w:rsid w:val="00565CEA"/>
  </w:style>
  <w:style w:type="paragraph" w:customStyle="1" w:styleId="FB537A59D05ECC4EB52D674DC73E977D">
    <w:name w:val="FB537A59D05ECC4EB52D674DC73E977D"/>
    <w:rsid w:val="00565CEA"/>
  </w:style>
  <w:style w:type="paragraph" w:customStyle="1" w:styleId="201122FD7DD0CB4B9CFCC9CAAD12003A">
    <w:name w:val="201122FD7DD0CB4B9CFCC9CAAD12003A"/>
    <w:rsid w:val="00565CEA"/>
  </w:style>
  <w:style w:type="paragraph" w:customStyle="1" w:styleId="8C3C9FEAEEAEFA4C9D83F883154740BE">
    <w:name w:val="8C3C9FEAEEAEFA4C9D83F883154740BE"/>
    <w:rsid w:val="00565CEA"/>
  </w:style>
  <w:style w:type="paragraph" w:customStyle="1" w:styleId="3023AEA735534D4385281131F15F330B">
    <w:name w:val="3023AEA735534D4385281131F15F330B"/>
    <w:rsid w:val="00565CEA"/>
  </w:style>
  <w:style w:type="paragraph" w:customStyle="1" w:styleId="E7B5DABE9067E44BB55474D4665D10F7">
    <w:name w:val="E7B5DABE9067E44BB55474D4665D10F7"/>
    <w:rsid w:val="00565CEA"/>
  </w:style>
  <w:style w:type="paragraph" w:customStyle="1" w:styleId="DCFFBEB882A45D4B9D9EE02EC6E2DF3C">
    <w:name w:val="DCFFBEB882A45D4B9D9EE02EC6E2DF3C"/>
    <w:rsid w:val="006415DF"/>
  </w:style>
  <w:style w:type="paragraph" w:customStyle="1" w:styleId="7EAFF17C7F6AC44BAC43577129A20BF8">
    <w:name w:val="7EAFF17C7F6AC44BAC43577129A20BF8"/>
    <w:rsid w:val="006415DF"/>
  </w:style>
  <w:style w:type="paragraph" w:customStyle="1" w:styleId="0FDAA174F1D2F74989EA8B79E1ECFFA8">
    <w:name w:val="0FDAA174F1D2F74989EA8B79E1ECFFA8"/>
    <w:rsid w:val="006415DF"/>
  </w:style>
  <w:style w:type="paragraph" w:customStyle="1" w:styleId="7930330D2B423048BBBA3ED7D6F06E8A">
    <w:name w:val="7930330D2B423048BBBA3ED7D6F06E8A"/>
    <w:rsid w:val="006415DF"/>
  </w:style>
  <w:style w:type="paragraph" w:customStyle="1" w:styleId="576A5FE198138B40AF2AF1575C16DC20">
    <w:name w:val="576A5FE198138B40AF2AF1575C16DC20"/>
    <w:rsid w:val="006415DF"/>
  </w:style>
  <w:style w:type="paragraph" w:customStyle="1" w:styleId="EC7A625E116FA249AB729E6D36110533">
    <w:name w:val="EC7A625E116FA249AB729E6D36110533"/>
    <w:rsid w:val="006415DF"/>
  </w:style>
  <w:style w:type="paragraph" w:customStyle="1" w:styleId="DC5B151F7267F140A688DEBF78CE8E17">
    <w:name w:val="DC5B151F7267F140A688DEBF78CE8E17"/>
    <w:rsid w:val="006415DF"/>
  </w:style>
  <w:style w:type="paragraph" w:customStyle="1" w:styleId="8D93D3E686FB0A4CA3F12BD3933D15FA">
    <w:name w:val="8D93D3E686FB0A4CA3F12BD3933D15FA"/>
    <w:rsid w:val="00923D5A"/>
  </w:style>
  <w:style w:type="paragraph" w:customStyle="1" w:styleId="A78403DBB1F26247A80DC5D415E55AD0">
    <w:name w:val="A78403DBB1F26247A80DC5D415E55AD0"/>
    <w:rsid w:val="00923D5A"/>
  </w:style>
  <w:style w:type="paragraph" w:customStyle="1" w:styleId="E0571F044628F840A15290BA65B27277">
    <w:name w:val="E0571F044628F840A15290BA65B27277"/>
    <w:rsid w:val="00923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60458-1519-45E6-93A4-917E5D9E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1537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Lorem Ipsum Dolor</dc:creator>
  <cp:lastModifiedBy>Tomás Romagosa Cabezudo</cp:lastModifiedBy>
  <cp:revision>6</cp:revision>
  <cp:lastPrinted>2019-02-20T15:58:00Z</cp:lastPrinted>
  <dcterms:created xsi:type="dcterms:W3CDTF">2019-05-08T13:44:00Z</dcterms:created>
  <dcterms:modified xsi:type="dcterms:W3CDTF">2019-06-10T09:12:00Z</dcterms:modified>
</cp:coreProperties>
</file>